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E19" w:rsidRDefault="00362DD3">
      <w:pPr>
        <w:pStyle w:val="Default"/>
        <w:snapToGrid w:val="0"/>
        <w:spacing w:line="360" w:lineRule="auto"/>
        <w:jc w:val="center"/>
        <w:rPr>
          <w:rFonts w:ascii="黑体" w:eastAsia="黑体" w:hAnsi="黑体"/>
          <w:sz w:val="36"/>
          <w:szCs w:val="36"/>
        </w:rPr>
      </w:pPr>
      <w:r>
        <w:rPr>
          <w:rFonts w:ascii="黑体" w:eastAsia="黑体" w:hAnsi="黑体" w:hint="eastAsia"/>
          <w:sz w:val="36"/>
          <w:szCs w:val="36"/>
        </w:rPr>
        <w:t>鞍山森远路桥股份有限公司</w:t>
      </w:r>
    </w:p>
    <w:p w:rsidR="00EE2E19" w:rsidRDefault="00362DD3">
      <w:pPr>
        <w:pStyle w:val="Default"/>
        <w:snapToGrid w:val="0"/>
        <w:spacing w:line="360" w:lineRule="auto"/>
        <w:jc w:val="center"/>
        <w:rPr>
          <w:rFonts w:ascii="黑体" w:eastAsia="黑体" w:hAnsi="黑体"/>
          <w:sz w:val="36"/>
          <w:szCs w:val="36"/>
        </w:rPr>
      </w:pPr>
      <w:r>
        <w:rPr>
          <w:rFonts w:ascii="黑体" w:eastAsia="黑体" w:hAnsi="黑体" w:hint="eastAsia"/>
          <w:sz w:val="36"/>
          <w:szCs w:val="36"/>
        </w:rPr>
        <w:t>对外投资管理制度</w:t>
      </w:r>
    </w:p>
    <w:p w:rsidR="00EE2E19" w:rsidRDefault="00362DD3" w:rsidP="001E509A">
      <w:pPr>
        <w:pStyle w:val="Default"/>
        <w:snapToGrid w:val="0"/>
        <w:spacing w:beforeLines="50" w:afterLines="50"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第一章总则</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第一条</w:t>
      </w:r>
      <w:r>
        <w:rPr>
          <w:rFonts w:asciiTheme="minorEastAsia" w:eastAsiaTheme="minorEastAsia" w:hAnsiTheme="minorEastAsia" w:hint="eastAsia"/>
        </w:rPr>
        <w:t>为进一步完善鞍山森远路桥股份有限公司</w:t>
      </w:r>
      <w:r>
        <w:rPr>
          <w:rFonts w:asciiTheme="minorEastAsia" w:eastAsiaTheme="minorEastAsia" w:hAnsiTheme="minorEastAsia"/>
        </w:rPr>
        <w:t>(</w:t>
      </w:r>
      <w:r>
        <w:rPr>
          <w:rFonts w:asciiTheme="minorEastAsia" w:eastAsiaTheme="minorEastAsia" w:hAnsiTheme="minorEastAsia" w:hint="eastAsia"/>
        </w:rPr>
        <w:t>下称</w:t>
      </w:r>
      <w:r>
        <w:rPr>
          <w:rFonts w:asciiTheme="minorEastAsia" w:eastAsiaTheme="minorEastAsia" w:hAnsiTheme="minorEastAsia"/>
        </w:rPr>
        <w:t>“</w:t>
      </w:r>
      <w:r>
        <w:rPr>
          <w:rFonts w:asciiTheme="minorEastAsia" w:eastAsiaTheme="minorEastAsia" w:hAnsiTheme="minorEastAsia" w:hint="eastAsia"/>
        </w:rPr>
        <w:t>公司</w:t>
      </w:r>
      <w:r>
        <w:rPr>
          <w:rFonts w:asciiTheme="minorEastAsia" w:eastAsiaTheme="minorEastAsia" w:hAnsiTheme="minorEastAsia"/>
        </w:rPr>
        <w:t>”)</w:t>
      </w:r>
      <w:r>
        <w:rPr>
          <w:rFonts w:asciiTheme="minorEastAsia" w:eastAsiaTheme="minorEastAsia" w:hAnsiTheme="minorEastAsia" w:hint="eastAsia"/>
        </w:rPr>
        <w:t>的法人治理结构，规范公司投资决策程序，提高决策效率，明确决策责任，确保决策科学，保障公司的合法权益及各项资产的安全完整和有效运营，根据《中华人民共和国公司法》</w:t>
      </w:r>
      <w:r>
        <w:rPr>
          <w:rFonts w:asciiTheme="minorEastAsia" w:eastAsiaTheme="minorEastAsia" w:hAnsiTheme="minorEastAsia"/>
        </w:rPr>
        <w:t>(</w:t>
      </w:r>
      <w:r>
        <w:rPr>
          <w:rFonts w:asciiTheme="minorEastAsia" w:eastAsiaTheme="minorEastAsia" w:hAnsiTheme="minorEastAsia" w:hint="eastAsia"/>
        </w:rPr>
        <w:t>下称</w:t>
      </w:r>
      <w:r>
        <w:rPr>
          <w:rFonts w:asciiTheme="minorEastAsia" w:eastAsiaTheme="minorEastAsia" w:hAnsiTheme="minorEastAsia"/>
        </w:rPr>
        <w:t>“</w:t>
      </w:r>
      <w:r>
        <w:rPr>
          <w:rFonts w:asciiTheme="minorEastAsia" w:eastAsiaTheme="minorEastAsia" w:hAnsiTheme="minorEastAsia" w:hint="eastAsia"/>
        </w:rPr>
        <w:t>《公司法》</w:t>
      </w:r>
      <w:r>
        <w:rPr>
          <w:rFonts w:asciiTheme="minorEastAsia" w:eastAsiaTheme="minorEastAsia" w:hAnsiTheme="minorEastAsia"/>
        </w:rPr>
        <w:t>”)</w:t>
      </w:r>
      <w:r>
        <w:rPr>
          <w:rFonts w:asciiTheme="minorEastAsia" w:eastAsiaTheme="minorEastAsia" w:hAnsiTheme="minorEastAsia" w:hint="eastAsia"/>
        </w:rPr>
        <w:t>、《深圳证券交易所创业板股票上市规则》</w:t>
      </w:r>
      <w:r>
        <w:rPr>
          <w:rFonts w:asciiTheme="minorEastAsia" w:eastAsiaTheme="minorEastAsia" w:hAnsiTheme="minorEastAsia"/>
        </w:rPr>
        <w:t>(</w:t>
      </w:r>
      <w:r>
        <w:rPr>
          <w:rFonts w:asciiTheme="minorEastAsia" w:eastAsiaTheme="minorEastAsia" w:hAnsiTheme="minorEastAsia" w:hint="eastAsia"/>
        </w:rPr>
        <w:t>下称</w:t>
      </w:r>
      <w:r>
        <w:rPr>
          <w:rFonts w:asciiTheme="minorEastAsia" w:eastAsiaTheme="minorEastAsia" w:hAnsiTheme="minorEastAsia"/>
        </w:rPr>
        <w:t>“</w:t>
      </w:r>
      <w:r>
        <w:rPr>
          <w:rFonts w:asciiTheme="minorEastAsia" w:eastAsiaTheme="minorEastAsia" w:hAnsiTheme="minorEastAsia" w:hint="eastAsia"/>
        </w:rPr>
        <w:t>《股票上市规则》</w:t>
      </w:r>
      <w:r>
        <w:rPr>
          <w:rFonts w:asciiTheme="minorEastAsia" w:eastAsiaTheme="minorEastAsia" w:hAnsiTheme="minorEastAsia"/>
        </w:rPr>
        <w:t>”)</w:t>
      </w:r>
      <w:r>
        <w:rPr>
          <w:rFonts w:asciiTheme="minorEastAsia" w:eastAsiaTheme="minorEastAsia" w:hAnsiTheme="minorEastAsia" w:hint="eastAsia"/>
        </w:rPr>
        <w:t>等相关法律、行政法规、证券监管机构的规则以及《鞍山森远路桥股份有限公司章程》</w:t>
      </w:r>
      <w:r>
        <w:rPr>
          <w:rFonts w:asciiTheme="minorEastAsia" w:eastAsiaTheme="minorEastAsia" w:hAnsiTheme="minorEastAsia"/>
        </w:rPr>
        <w:t>(</w:t>
      </w:r>
      <w:r>
        <w:rPr>
          <w:rFonts w:asciiTheme="minorEastAsia" w:eastAsiaTheme="minorEastAsia" w:hAnsiTheme="minorEastAsia" w:hint="eastAsia"/>
        </w:rPr>
        <w:t>下称</w:t>
      </w:r>
      <w:r>
        <w:rPr>
          <w:rFonts w:asciiTheme="minorEastAsia" w:eastAsiaTheme="minorEastAsia" w:hAnsiTheme="minorEastAsia"/>
        </w:rPr>
        <w:t>“</w:t>
      </w:r>
      <w:r>
        <w:rPr>
          <w:rFonts w:asciiTheme="minorEastAsia" w:eastAsiaTheme="minorEastAsia" w:hAnsiTheme="minorEastAsia" w:hint="eastAsia"/>
        </w:rPr>
        <w:t>《公司章程》</w:t>
      </w:r>
      <w:r>
        <w:rPr>
          <w:rFonts w:asciiTheme="minorEastAsia" w:eastAsiaTheme="minorEastAsia" w:hAnsiTheme="minorEastAsia"/>
        </w:rPr>
        <w:t>”)</w:t>
      </w:r>
      <w:r>
        <w:rPr>
          <w:rFonts w:asciiTheme="minorEastAsia" w:eastAsiaTheme="minorEastAsia" w:hAnsiTheme="minorEastAsia" w:hint="eastAsia"/>
        </w:rPr>
        <w:t>的规定，并结合公司实际情况，特制定本投资决策程序与制度</w:t>
      </w:r>
      <w:r>
        <w:rPr>
          <w:rFonts w:asciiTheme="minorEastAsia" w:eastAsiaTheme="minorEastAsia" w:hAnsiTheme="minorEastAsia"/>
        </w:rPr>
        <w:t>(</w:t>
      </w:r>
      <w:r>
        <w:rPr>
          <w:rFonts w:asciiTheme="minorEastAsia" w:eastAsiaTheme="minorEastAsia" w:hAnsiTheme="minorEastAsia" w:hint="eastAsia"/>
        </w:rPr>
        <w:t>下称</w:t>
      </w:r>
      <w:r>
        <w:rPr>
          <w:rFonts w:asciiTheme="minorEastAsia" w:eastAsiaTheme="minorEastAsia" w:hAnsiTheme="minorEastAsia"/>
        </w:rPr>
        <w:t>“</w:t>
      </w:r>
      <w:r>
        <w:rPr>
          <w:rFonts w:asciiTheme="minorEastAsia" w:eastAsiaTheme="minorEastAsia" w:hAnsiTheme="minorEastAsia" w:hint="eastAsia"/>
        </w:rPr>
        <w:t>本制度</w:t>
      </w:r>
      <w:r>
        <w:rPr>
          <w:rFonts w:asciiTheme="minorEastAsia" w:eastAsiaTheme="minorEastAsia" w:hAnsiTheme="minorEastAsia"/>
        </w:rPr>
        <w:t>”)</w:t>
      </w:r>
      <w:r>
        <w:rPr>
          <w:rFonts w:asciiTheme="minorEastAsia" w:eastAsiaTheme="minorEastAsia" w:hAnsiTheme="minorEastAsia" w:hint="eastAsia"/>
        </w:rPr>
        <w:t>。</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第二条</w:t>
      </w:r>
      <w:r>
        <w:rPr>
          <w:rFonts w:asciiTheme="minorEastAsia" w:eastAsiaTheme="minorEastAsia" w:hAnsiTheme="minorEastAsia" w:hint="eastAsia"/>
        </w:rPr>
        <w:t>本制度所称对外投资是指公司对外进行的投资行为。公司对外投资包括：</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（一）独资或与他人合资新设企业的股权投资；</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（二）部分或全部收购其他境内外的经济实体；</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（三）对现有或新增投资企业的增资扩股、股权收购投资；</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（四）股票投资、债券投资、基金投资、银行理财产品投资以及其他金融衍生产品的投资；</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（五）委托贷款；</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（六）国家法律法规允许的其他投资。</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第三条</w:t>
      </w:r>
      <w:r>
        <w:rPr>
          <w:rFonts w:asciiTheme="minorEastAsia" w:eastAsiaTheme="minorEastAsia" w:hAnsiTheme="minorEastAsia" w:hint="eastAsia"/>
        </w:rPr>
        <w:t>公司对外投资应遵循的原则：</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（一）符合国家法律、法规、规章及《公司章程》的有关规</w:t>
      </w:r>
      <w:r>
        <w:rPr>
          <w:rFonts w:asciiTheme="minorEastAsia" w:eastAsiaTheme="minorEastAsia" w:hAnsiTheme="minorEastAsia" w:hint="eastAsia"/>
        </w:rPr>
        <w:t>定和国家相关产业政策；</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（二）符合公司的发展战略、经营宗旨，具有良好的经济效益，有利于优化公司产业结构，提高核心竞争力，增加股东的利益；</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（三）对外投资的产权关系明确清晰，风险控制全面有效，确保投资的安全、完整，实现资产保值、增值；</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（四）根据国家对投资行为管理的有关要求，投资项目需要报政府部门审批的，应履行必要的报批手续，保证公司各项投资行为的合规合法性，符合国家宏</w:t>
      </w:r>
      <w:r>
        <w:rPr>
          <w:rFonts w:asciiTheme="minorEastAsia" w:eastAsiaTheme="minorEastAsia" w:hAnsiTheme="minorEastAsia" w:hint="eastAsia"/>
        </w:rPr>
        <w:lastRenderedPageBreak/>
        <w:t>观经济政策。</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第四条</w:t>
      </w:r>
      <w:r>
        <w:rPr>
          <w:rFonts w:asciiTheme="minorEastAsia" w:eastAsiaTheme="minorEastAsia" w:hAnsiTheme="minorEastAsia" w:hint="eastAsia"/>
        </w:rPr>
        <w:t>本制度适用于公司及其全资子公司和控股子公司。</w:t>
      </w:r>
    </w:p>
    <w:p w:rsidR="00EE2E19" w:rsidRDefault="00362DD3" w:rsidP="001E509A">
      <w:pPr>
        <w:pStyle w:val="Default"/>
        <w:snapToGrid w:val="0"/>
        <w:spacing w:beforeLines="50" w:afterLines="50"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第二章投资决策权限</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第五条</w:t>
      </w:r>
      <w:r>
        <w:rPr>
          <w:rFonts w:asciiTheme="minorEastAsia" w:eastAsiaTheme="minorEastAsia" w:hAnsiTheme="minorEastAsia" w:hint="eastAsia"/>
        </w:rPr>
        <w:t>投资项目立项由公司股东大会、董事会、总经理按照各自的权限，分级审批。</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第六条</w:t>
      </w:r>
      <w:r>
        <w:rPr>
          <w:rFonts w:asciiTheme="minorEastAsia" w:eastAsiaTheme="minorEastAsia" w:hAnsiTheme="minorEastAsia" w:hint="eastAsia"/>
        </w:rPr>
        <w:t>公司对外投资达到下列标准之一的，经董事会审议后提交股东大会审批：</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一</w:t>
      </w:r>
      <w:r>
        <w:rPr>
          <w:rFonts w:asciiTheme="minorEastAsia" w:eastAsiaTheme="minorEastAsia" w:hAnsiTheme="minorEastAsia"/>
        </w:rPr>
        <w:t xml:space="preserve">) </w:t>
      </w:r>
      <w:r>
        <w:rPr>
          <w:rFonts w:asciiTheme="minorEastAsia" w:eastAsiaTheme="minorEastAsia" w:hAnsiTheme="minorEastAsia" w:hint="eastAsia"/>
        </w:rPr>
        <w:t>交易涉及的资产总额占上市公司最近一期经审计总资产的</w:t>
      </w:r>
      <w:r>
        <w:rPr>
          <w:rFonts w:asciiTheme="minorEastAsia" w:eastAsiaTheme="minorEastAsia" w:hAnsiTheme="minorEastAsia"/>
        </w:rPr>
        <w:t>50%</w:t>
      </w:r>
      <w:r>
        <w:rPr>
          <w:rFonts w:asciiTheme="minorEastAsia" w:eastAsiaTheme="minorEastAsia" w:hAnsiTheme="minorEastAsia" w:hint="eastAsia"/>
        </w:rPr>
        <w:t>以上，该交易涉及的资产总额同时存在账面值和评估值的，以较高者作为计算依据；</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二</w:t>
      </w:r>
      <w:r>
        <w:rPr>
          <w:rFonts w:asciiTheme="minorEastAsia" w:eastAsiaTheme="minorEastAsia" w:hAnsiTheme="minorEastAsia"/>
        </w:rPr>
        <w:t xml:space="preserve">) </w:t>
      </w:r>
      <w:r>
        <w:rPr>
          <w:rFonts w:asciiTheme="minorEastAsia" w:eastAsiaTheme="minorEastAsia" w:hAnsiTheme="minorEastAsia" w:hint="eastAsia"/>
        </w:rPr>
        <w:t>交易标的（如股权）在最近一个会计年度相关的营业收入占上市公司最近一个会计年度经审计营业收入的</w:t>
      </w:r>
      <w:r>
        <w:rPr>
          <w:rFonts w:asciiTheme="minorEastAsia" w:eastAsiaTheme="minorEastAsia" w:hAnsiTheme="minorEastAsia"/>
        </w:rPr>
        <w:t>50%</w:t>
      </w:r>
      <w:r>
        <w:rPr>
          <w:rFonts w:asciiTheme="minorEastAsia" w:eastAsiaTheme="minorEastAsia" w:hAnsiTheme="minorEastAsia" w:hint="eastAsia"/>
        </w:rPr>
        <w:t>以上，且绝对金额超过</w:t>
      </w:r>
      <w:r>
        <w:rPr>
          <w:rFonts w:asciiTheme="minorEastAsia" w:eastAsiaTheme="minorEastAsia" w:hAnsiTheme="minorEastAsia"/>
        </w:rPr>
        <w:t>5</w:t>
      </w:r>
      <w:r>
        <w:rPr>
          <w:rFonts w:asciiTheme="minorEastAsia" w:eastAsiaTheme="minorEastAsia" w:hAnsiTheme="minorEastAsia"/>
        </w:rPr>
        <w:t>,000</w:t>
      </w:r>
      <w:r>
        <w:rPr>
          <w:rFonts w:asciiTheme="minorEastAsia" w:eastAsiaTheme="minorEastAsia" w:hAnsiTheme="minorEastAsia" w:hint="eastAsia"/>
        </w:rPr>
        <w:t>万元；</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三</w:t>
      </w:r>
      <w:r>
        <w:rPr>
          <w:rFonts w:asciiTheme="minorEastAsia" w:eastAsiaTheme="minorEastAsia" w:hAnsiTheme="minorEastAsia"/>
        </w:rPr>
        <w:t xml:space="preserve">) </w:t>
      </w:r>
      <w:r>
        <w:rPr>
          <w:rFonts w:asciiTheme="minorEastAsia" w:eastAsiaTheme="minorEastAsia" w:hAnsiTheme="minorEastAsia" w:hint="eastAsia"/>
        </w:rPr>
        <w:t>交易标的（如股权）在最近一个会计年度相关的净利润占上市公司最近一个会计年度经</w:t>
      </w:r>
      <w:r>
        <w:rPr>
          <w:rFonts w:asciiTheme="minorEastAsia" w:eastAsiaTheme="minorEastAsia" w:hAnsiTheme="minorEastAsia" w:hint="eastAsia"/>
        </w:rPr>
        <w:t>审计净利润的</w:t>
      </w:r>
      <w:r>
        <w:rPr>
          <w:rFonts w:asciiTheme="minorEastAsia" w:eastAsiaTheme="minorEastAsia" w:hAnsiTheme="minorEastAsia"/>
        </w:rPr>
        <w:t>50%</w:t>
      </w:r>
      <w:r>
        <w:rPr>
          <w:rFonts w:asciiTheme="minorEastAsia" w:eastAsiaTheme="minorEastAsia" w:hAnsiTheme="minorEastAsia" w:hint="eastAsia"/>
        </w:rPr>
        <w:t>以上，且绝对金额超过</w:t>
      </w:r>
      <w:r>
        <w:rPr>
          <w:rFonts w:asciiTheme="minorEastAsia" w:eastAsiaTheme="minorEastAsia" w:hAnsiTheme="minorEastAsia"/>
        </w:rPr>
        <w:t>5</w:t>
      </w:r>
      <w:r>
        <w:rPr>
          <w:rFonts w:asciiTheme="minorEastAsia" w:eastAsiaTheme="minorEastAsia" w:hAnsiTheme="minorEastAsia"/>
        </w:rPr>
        <w:t>00</w:t>
      </w:r>
      <w:r>
        <w:rPr>
          <w:rFonts w:asciiTheme="minorEastAsia" w:eastAsiaTheme="minorEastAsia" w:hAnsiTheme="minorEastAsia" w:hint="eastAsia"/>
        </w:rPr>
        <w:t>万元；</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四</w:t>
      </w:r>
      <w:r>
        <w:rPr>
          <w:rFonts w:asciiTheme="minorEastAsia" w:eastAsiaTheme="minorEastAsia" w:hAnsiTheme="minorEastAsia"/>
        </w:rPr>
        <w:t xml:space="preserve">) </w:t>
      </w:r>
      <w:r>
        <w:rPr>
          <w:rFonts w:asciiTheme="minorEastAsia" w:eastAsiaTheme="minorEastAsia" w:hAnsiTheme="minorEastAsia" w:hint="eastAsia"/>
        </w:rPr>
        <w:t>交易的成交金额（含承担债务和费用）占上市公司最近一期经审计净资产的</w:t>
      </w:r>
      <w:r>
        <w:rPr>
          <w:rFonts w:asciiTheme="minorEastAsia" w:eastAsiaTheme="minorEastAsia" w:hAnsiTheme="minorEastAsia"/>
        </w:rPr>
        <w:t>50%</w:t>
      </w:r>
      <w:r>
        <w:rPr>
          <w:rFonts w:asciiTheme="minorEastAsia" w:eastAsiaTheme="minorEastAsia" w:hAnsiTheme="minorEastAsia" w:hint="eastAsia"/>
        </w:rPr>
        <w:t>以上，且绝对金额超过</w:t>
      </w:r>
      <w:r>
        <w:rPr>
          <w:rFonts w:asciiTheme="minorEastAsia" w:eastAsiaTheme="minorEastAsia" w:hAnsiTheme="minorEastAsia"/>
        </w:rPr>
        <w:t>5</w:t>
      </w:r>
      <w:r>
        <w:rPr>
          <w:rFonts w:asciiTheme="minorEastAsia" w:eastAsiaTheme="minorEastAsia" w:hAnsiTheme="minorEastAsia"/>
        </w:rPr>
        <w:t>,000</w:t>
      </w:r>
      <w:r>
        <w:rPr>
          <w:rFonts w:asciiTheme="minorEastAsia" w:eastAsiaTheme="minorEastAsia" w:hAnsiTheme="minorEastAsia" w:hint="eastAsia"/>
        </w:rPr>
        <w:t>万元；</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五</w:t>
      </w:r>
      <w:r>
        <w:rPr>
          <w:rFonts w:asciiTheme="minorEastAsia" w:eastAsiaTheme="minorEastAsia" w:hAnsiTheme="minorEastAsia"/>
        </w:rPr>
        <w:t xml:space="preserve">) </w:t>
      </w:r>
      <w:r>
        <w:rPr>
          <w:rFonts w:asciiTheme="minorEastAsia" w:eastAsiaTheme="minorEastAsia" w:hAnsiTheme="minorEastAsia" w:hint="eastAsia"/>
        </w:rPr>
        <w:t>交易产生的利润占上市公司最近一个会计年度经审计净利润的</w:t>
      </w:r>
      <w:r>
        <w:rPr>
          <w:rFonts w:asciiTheme="minorEastAsia" w:eastAsiaTheme="minorEastAsia" w:hAnsiTheme="minorEastAsia"/>
        </w:rPr>
        <w:t>50%</w:t>
      </w:r>
      <w:r>
        <w:rPr>
          <w:rFonts w:asciiTheme="minorEastAsia" w:eastAsiaTheme="minorEastAsia" w:hAnsiTheme="minorEastAsia" w:hint="eastAsia"/>
        </w:rPr>
        <w:t>以上，且绝对金额超过</w:t>
      </w:r>
      <w:r>
        <w:rPr>
          <w:rFonts w:asciiTheme="minorEastAsia" w:eastAsiaTheme="minorEastAsia" w:hAnsiTheme="minorEastAsia"/>
        </w:rPr>
        <w:t>5</w:t>
      </w:r>
      <w:r>
        <w:rPr>
          <w:rFonts w:asciiTheme="minorEastAsia" w:eastAsiaTheme="minorEastAsia" w:hAnsiTheme="minorEastAsia"/>
        </w:rPr>
        <w:t>00</w:t>
      </w:r>
      <w:r>
        <w:rPr>
          <w:rFonts w:asciiTheme="minorEastAsia" w:eastAsiaTheme="minorEastAsia" w:hAnsiTheme="minorEastAsia" w:hint="eastAsia"/>
        </w:rPr>
        <w:t>万元。</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六</w:t>
      </w:r>
      <w:r>
        <w:rPr>
          <w:rFonts w:asciiTheme="minorEastAsia" w:eastAsiaTheme="minorEastAsia" w:hAnsiTheme="minorEastAsia"/>
        </w:rPr>
        <w:t xml:space="preserve">) </w:t>
      </w:r>
      <w:r>
        <w:rPr>
          <w:rFonts w:asciiTheme="minorEastAsia" w:eastAsiaTheme="minorEastAsia" w:hAnsiTheme="minorEastAsia" w:hint="eastAsia"/>
        </w:rPr>
        <w:t>涉及购买、出售重大资产的，在连续十二个月内累计达到上市公司最近一期经审计总资产</w:t>
      </w:r>
      <w:r>
        <w:rPr>
          <w:rFonts w:asciiTheme="minorEastAsia" w:eastAsiaTheme="minorEastAsia" w:hAnsiTheme="minorEastAsia"/>
        </w:rPr>
        <w:t>30%</w:t>
      </w:r>
      <w:r>
        <w:rPr>
          <w:rFonts w:asciiTheme="minorEastAsia" w:eastAsiaTheme="minorEastAsia" w:hAnsiTheme="minorEastAsia" w:hint="eastAsia"/>
        </w:rPr>
        <w:t>的事项（该款事项需经出席会议的股东所持表决权的三分之二以上通过）。</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七</w:t>
      </w:r>
      <w:r>
        <w:rPr>
          <w:rFonts w:asciiTheme="minorEastAsia" w:eastAsiaTheme="minorEastAsia" w:hAnsiTheme="minorEastAsia"/>
        </w:rPr>
        <w:t xml:space="preserve">) </w:t>
      </w:r>
      <w:r>
        <w:rPr>
          <w:rFonts w:asciiTheme="minorEastAsia" w:eastAsiaTheme="minorEastAsia" w:hAnsiTheme="minorEastAsia" w:hint="eastAsia"/>
        </w:rPr>
        <w:t>对外投资项目属于关联交易的，交易金额在</w:t>
      </w:r>
      <w:r>
        <w:rPr>
          <w:rFonts w:asciiTheme="minorEastAsia" w:eastAsiaTheme="minorEastAsia" w:hAnsiTheme="minorEastAsia"/>
        </w:rPr>
        <w:t>3</w:t>
      </w:r>
      <w:r>
        <w:rPr>
          <w:rFonts w:asciiTheme="minorEastAsia" w:eastAsiaTheme="minorEastAsia" w:hAnsiTheme="minorEastAsia"/>
        </w:rPr>
        <w:t>,000</w:t>
      </w:r>
      <w:r>
        <w:rPr>
          <w:rFonts w:asciiTheme="minorEastAsia" w:eastAsiaTheme="minorEastAsia" w:hAnsiTheme="minorEastAsia" w:hint="eastAsia"/>
        </w:rPr>
        <w:t>万元人民币以上，且占上市公司最近一期经审计净资产绝对值</w:t>
      </w:r>
      <w:r>
        <w:rPr>
          <w:rFonts w:asciiTheme="minorEastAsia" w:eastAsiaTheme="minorEastAsia" w:hAnsiTheme="minorEastAsia"/>
        </w:rPr>
        <w:t>5%</w:t>
      </w:r>
      <w:r>
        <w:rPr>
          <w:rFonts w:asciiTheme="minorEastAsia" w:eastAsiaTheme="minorEastAsia" w:hAnsiTheme="minorEastAsia" w:hint="eastAsia"/>
        </w:rPr>
        <w:t>以上。</w:t>
      </w:r>
      <w:r w:rsidR="00EE2E19" w:rsidRPr="00EE2E19">
        <w:rPr>
          <w:rFonts w:asciiTheme="minorEastAsia" w:eastAsiaTheme="minorEastAsia" w:hAnsiTheme="minorEastAsia" w:hint="eastAsia"/>
        </w:rPr>
        <w:t>该交易应当聘请符合《证券法》规定的证券服务机构对交易标的进行评估或者审计，但与日常经营相关的关联交易可免于审计或者评估</w:t>
      </w:r>
      <w:r>
        <w:rPr>
          <w:rFonts w:asciiTheme="minorEastAsia" w:eastAsiaTheme="minorEastAsia" w:hAnsiTheme="minorEastAsia"/>
        </w:rPr>
        <w:t>。</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上述指标计算中涉及的数据如为负值，取其绝对值计算。</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涉及发行证券等需要报送中国证监会核准的事项，应经股东大会批准。</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对外投资所涉及金额达到中国证监会颁发的《上市公司重大资产重组管理办法》的且需要报关中国证监会核准的事项，应经股东大会批准。</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第七条</w:t>
      </w:r>
      <w:r>
        <w:rPr>
          <w:rFonts w:asciiTheme="minorEastAsia" w:eastAsiaTheme="minorEastAsia" w:hAnsiTheme="minorEastAsia" w:hint="eastAsia"/>
        </w:rPr>
        <w:t>公司对外投资未达到股东大会审批标准的，由公司董事会审批。董事</w:t>
      </w:r>
      <w:r>
        <w:rPr>
          <w:rFonts w:asciiTheme="minorEastAsia" w:eastAsiaTheme="minorEastAsia" w:hAnsiTheme="minorEastAsia" w:hint="eastAsia"/>
        </w:rPr>
        <w:lastRenderedPageBreak/>
        <w:t>会可在权限范围内授予</w:t>
      </w:r>
      <w:r>
        <w:rPr>
          <w:rFonts w:asciiTheme="minorEastAsia" w:eastAsiaTheme="minorEastAsia" w:hAnsiTheme="minorEastAsia" w:hint="eastAsia"/>
        </w:rPr>
        <w:t>总经理一定的权限。</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第八条</w:t>
      </w:r>
      <w:r>
        <w:rPr>
          <w:rFonts w:asciiTheme="minorEastAsia" w:eastAsiaTheme="minorEastAsia" w:hAnsiTheme="minorEastAsia" w:hint="eastAsia"/>
        </w:rPr>
        <w:t>董事会应当建立严格的审查和决策程序，超过董事会决策权限的事项必须报股东大会批准；对于重大投资项目，应当组织有关专家、专业人员进行评审。</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第九条</w:t>
      </w:r>
      <w:r>
        <w:rPr>
          <w:rFonts w:asciiTheme="minorEastAsia" w:eastAsiaTheme="minorEastAsia" w:hAnsiTheme="minorEastAsia" w:hint="eastAsia"/>
        </w:rPr>
        <w:t>公司的对外投资属于以下情形的，公司董事会授权总经理决定：</w:t>
      </w:r>
    </w:p>
    <w:p w:rsidR="00EE2E19" w:rsidRDefault="00362DD3">
      <w:pPr>
        <w:pStyle w:val="Default"/>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（一）</w:t>
      </w:r>
      <w:r>
        <w:rPr>
          <w:rFonts w:asciiTheme="minorEastAsia" w:eastAsiaTheme="minorEastAsia" w:hAnsiTheme="minorEastAsia" w:hint="eastAsia"/>
        </w:rPr>
        <w:t xml:space="preserve"> </w:t>
      </w:r>
      <w:r>
        <w:rPr>
          <w:rFonts w:asciiTheme="minorEastAsia" w:eastAsiaTheme="minorEastAsia" w:hAnsiTheme="minorEastAsia" w:hint="eastAsia"/>
        </w:rPr>
        <w:t>对外投资涉及的资产总额（同时存在帐面值和评估值的，以高者为准）占公司最近一期经审计总资产的</w:t>
      </w:r>
      <w:r>
        <w:rPr>
          <w:rFonts w:asciiTheme="minorEastAsia" w:eastAsiaTheme="minorEastAsia" w:hAnsiTheme="minorEastAsia" w:hint="eastAsia"/>
        </w:rPr>
        <w:t>5%</w:t>
      </w:r>
      <w:r>
        <w:rPr>
          <w:rFonts w:asciiTheme="minorEastAsia" w:eastAsiaTheme="minorEastAsia" w:hAnsiTheme="minorEastAsia" w:hint="eastAsia"/>
        </w:rPr>
        <w:t>以内；</w:t>
      </w:r>
    </w:p>
    <w:p w:rsidR="00EE2E19" w:rsidRDefault="00362DD3">
      <w:pPr>
        <w:pStyle w:val="Default"/>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（二）投资项目的成交金额（包括承担的债务和费用）占公司最近一期经审计净资产的</w:t>
      </w:r>
      <w:r>
        <w:rPr>
          <w:rFonts w:asciiTheme="minorEastAsia" w:eastAsiaTheme="minorEastAsia" w:hAnsiTheme="minorEastAsia" w:hint="eastAsia"/>
        </w:rPr>
        <w:t>5%</w:t>
      </w:r>
      <w:r>
        <w:rPr>
          <w:rFonts w:asciiTheme="minorEastAsia" w:eastAsiaTheme="minorEastAsia" w:hAnsiTheme="minorEastAsia" w:hint="eastAsia"/>
        </w:rPr>
        <w:t>以内；</w:t>
      </w:r>
    </w:p>
    <w:p w:rsidR="00EE2E19" w:rsidRDefault="00362DD3">
      <w:pPr>
        <w:pStyle w:val="Default"/>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（三）投资项目产生的利润占公司最近一个会计年度经审计净利润的</w:t>
      </w:r>
      <w:r>
        <w:rPr>
          <w:rFonts w:asciiTheme="minorEastAsia" w:eastAsiaTheme="minorEastAsia" w:hAnsiTheme="minorEastAsia" w:hint="eastAsia"/>
        </w:rPr>
        <w:t>5%</w:t>
      </w:r>
      <w:r>
        <w:rPr>
          <w:rFonts w:asciiTheme="minorEastAsia" w:eastAsiaTheme="minorEastAsia" w:hAnsiTheme="minorEastAsia" w:hint="eastAsia"/>
        </w:rPr>
        <w:t>以内；</w:t>
      </w:r>
    </w:p>
    <w:p w:rsidR="00EE2E19" w:rsidRDefault="00362DD3">
      <w:pPr>
        <w:pStyle w:val="Default"/>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（四）对外投资涉</w:t>
      </w:r>
      <w:r>
        <w:rPr>
          <w:rFonts w:asciiTheme="minorEastAsia" w:eastAsiaTheme="minorEastAsia" w:hAnsiTheme="minorEastAsia" w:hint="eastAsia"/>
        </w:rPr>
        <w:t>及的交易标的（如股权）在最近一个会计年度相关的主营业务收入占公司最近一个会计年度经审计主营业务收入的</w:t>
      </w:r>
      <w:r>
        <w:rPr>
          <w:rFonts w:asciiTheme="minorEastAsia" w:eastAsiaTheme="minorEastAsia" w:hAnsiTheme="minorEastAsia" w:hint="eastAsia"/>
        </w:rPr>
        <w:t>5%</w:t>
      </w:r>
      <w:r>
        <w:rPr>
          <w:rFonts w:asciiTheme="minorEastAsia" w:eastAsiaTheme="minorEastAsia" w:hAnsiTheme="minorEastAsia" w:hint="eastAsia"/>
        </w:rPr>
        <w:t>以内；</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（五）对外投资涉及的交易标的（如股权）在最近一个会计年度相关的净利润占公司最近一个会计年度经审计净利润的</w:t>
      </w:r>
      <w:r>
        <w:rPr>
          <w:rFonts w:asciiTheme="minorEastAsia" w:eastAsiaTheme="minorEastAsia" w:hAnsiTheme="minorEastAsia" w:hint="eastAsia"/>
        </w:rPr>
        <w:t>5%</w:t>
      </w:r>
      <w:r>
        <w:rPr>
          <w:rFonts w:asciiTheme="minorEastAsia" w:eastAsiaTheme="minorEastAsia" w:hAnsiTheme="minorEastAsia" w:hint="eastAsia"/>
        </w:rPr>
        <w:t>以内；</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（六）对外投资项目属于关联交易的，与关联自然人发生的单项交易金额低于</w:t>
      </w:r>
      <w:r>
        <w:rPr>
          <w:rFonts w:asciiTheme="minorEastAsia" w:eastAsiaTheme="minorEastAsia" w:hAnsiTheme="minorEastAsia"/>
        </w:rPr>
        <w:t>30</w:t>
      </w:r>
      <w:r>
        <w:rPr>
          <w:rFonts w:asciiTheme="minorEastAsia" w:eastAsiaTheme="minorEastAsia" w:hAnsiTheme="minorEastAsia" w:hint="eastAsia"/>
        </w:rPr>
        <w:t>万元、与关联法人发生的单项交易金额低于</w:t>
      </w:r>
      <w:r>
        <w:rPr>
          <w:rFonts w:asciiTheme="minorEastAsia" w:eastAsiaTheme="minorEastAsia" w:hAnsiTheme="minorEastAsia"/>
        </w:rPr>
        <w:t>100</w:t>
      </w:r>
      <w:r>
        <w:rPr>
          <w:rFonts w:asciiTheme="minorEastAsia" w:eastAsiaTheme="minorEastAsia" w:hAnsiTheme="minorEastAsia" w:hint="eastAsia"/>
        </w:rPr>
        <w:t>万元的关联交易，或占公司最近一期经审计净资产值的比例低于</w:t>
      </w:r>
      <w:r>
        <w:rPr>
          <w:rFonts w:asciiTheme="minorEastAsia" w:eastAsiaTheme="minorEastAsia" w:hAnsiTheme="minorEastAsia"/>
        </w:rPr>
        <w:t>0.5%</w:t>
      </w:r>
      <w:r>
        <w:rPr>
          <w:rFonts w:asciiTheme="minorEastAsia" w:eastAsiaTheme="minorEastAsia" w:hAnsiTheme="minorEastAsia" w:hint="eastAsia"/>
        </w:rPr>
        <w:t>。</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上述指标涉及的数据如为负值</w:t>
      </w:r>
      <w:r>
        <w:rPr>
          <w:rFonts w:asciiTheme="minorEastAsia" w:eastAsiaTheme="minorEastAsia" w:hAnsiTheme="minorEastAsia"/>
        </w:rPr>
        <w:t>,</w:t>
      </w:r>
      <w:r>
        <w:rPr>
          <w:rFonts w:asciiTheme="minorEastAsia" w:eastAsiaTheme="minorEastAsia" w:hAnsiTheme="minorEastAsia" w:hint="eastAsia"/>
        </w:rPr>
        <w:t>取其绝对值计算。公司在</w:t>
      </w:r>
      <w:r>
        <w:rPr>
          <w:rFonts w:asciiTheme="minorEastAsia" w:eastAsiaTheme="minorEastAsia" w:hAnsiTheme="minorEastAsia"/>
        </w:rPr>
        <w:t>12</w:t>
      </w:r>
      <w:r>
        <w:rPr>
          <w:rFonts w:asciiTheme="minorEastAsia" w:eastAsiaTheme="minorEastAsia" w:hAnsiTheme="minorEastAsia" w:hint="eastAsia"/>
        </w:rPr>
        <w:t>个月内连续对同一或相关资产分次购买、出售、置换</w:t>
      </w:r>
      <w:r>
        <w:rPr>
          <w:rFonts w:asciiTheme="minorEastAsia" w:eastAsiaTheme="minorEastAsia" w:hAnsiTheme="minorEastAsia" w:hint="eastAsia"/>
        </w:rPr>
        <w:t>的，以其累计数计算购买、出售、置换的数额。公司控股子公司发生购买、出售或置换资产的行为视同公司行为，公司的参股公司发生购买、出售或置换资产的行为，批准权限以购买、出售或置换金额乘以参股比例后按照上述规定的标准执行。</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总经理应当建立严格的审查和决策程序，超过总经理决策权限的事项必须报股东大会或董事会批准；对于重大投资项目，应当组织有关专家、专业人员进行评审。</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第十条</w:t>
      </w:r>
      <w:r>
        <w:rPr>
          <w:rFonts w:asciiTheme="minorEastAsia" w:eastAsiaTheme="minorEastAsia" w:hAnsiTheme="minorEastAsia" w:hint="eastAsia"/>
        </w:rPr>
        <w:t>对外投资属关联交易事项，则应按公司关于关联交易事项的决策权限执行。</w:t>
      </w:r>
    </w:p>
    <w:p w:rsidR="00EE2E19" w:rsidRDefault="00362DD3" w:rsidP="001E509A">
      <w:pPr>
        <w:pStyle w:val="Default"/>
        <w:snapToGrid w:val="0"/>
        <w:spacing w:beforeLines="50" w:afterLines="50"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第三章对外投资的决策程序</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第十一条</w:t>
      </w:r>
      <w:r>
        <w:rPr>
          <w:rFonts w:asciiTheme="minorEastAsia" w:eastAsiaTheme="minorEastAsia" w:hAnsiTheme="minorEastAsia" w:hint="eastAsia"/>
        </w:rPr>
        <w:t>对外投资建议，由公司的股东、董事、高级管理人员、相关职能部</w:t>
      </w:r>
      <w:r>
        <w:rPr>
          <w:rFonts w:asciiTheme="minorEastAsia" w:eastAsiaTheme="minorEastAsia" w:hAnsiTheme="minorEastAsia" w:hint="eastAsia"/>
        </w:rPr>
        <w:lastRenderedPageBreak/>
        <w:t>门、相关业务部门和各下属公司书面提出。</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第十二条</w:t>
      </w:r>
      <w:r>
        <w:rPr>
          <w:rFonts w:asciiTheme="minorEastAsia" w:eastAsiaTheme="minorEastAsia" w:hAnsiTheme="minorEastAsia" w:hint="eastAsia"/>
        </w:rPr>
        <w:t>总经理组织相关人员对项目的投资建议进行研究。</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第十三条</w:t>
      </w:r>
      <w:r>
        <w:rPr>
          <w:rFonts w:asciiTheme="minorEastAsia" w:eastAsiaTheme="minorEastAsia" w:hAnsiTheme="minorEastAsia" w:hint="eastAsia"/>
        </w:rPr>
        <w:t>总经理认为对外投资建议可行的，组织证券投资部、财务部等相关部门和人员编制项目投资方案的草案，并对项目的可行性做出评审意见，经总经理同意后报董事会审议。</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第十四条</w:t>
      </w:r>
      <w:r>
        <w:rPr>
          <w:rFonts w:asciiTheme="minorEastAsia" w:eastAsiaTheme="minorEastAsia" w:hAnsiTheme="minorEastAsia" w:hint="eastAsia"/>
        </w:rPr>
        <w:t>董事会和总经理认为必要时，应聘请外部机构和专家对投资项目的可行性进行咨询和论证。</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第十五条</w:t>
      </w:r>
      <w:r>
        <w:rPr>
          <w:rFonts w:asciiTheme="minorEastAsia" w:eastAsiaTheme="minorEastAsia" w:hAnsiTheme="minorEastAsia" w:hint="eastAsia"/>
        </w:rPr>
        <w:t>需要由股东大会审议通过的对外投资项目，在董事会审议通过后提交股东大会审议。</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第十六条</w:t>
      </w:r>
      <w:r>
        <w:rPr>
          <w:rFonts w:asciiTheme="minorEastAsia" w:eastAsiaTheme="minorEastAsia" w:hAnsiTheme="minorEastAsia" w:hint="eastAsia"/>
        </w:rPr>
        <w:t>如果总经理认为投资</w:t>
      </w:r>
      <w:r>
        <w:rPr>
          <w:rFonts w:asciiTheme="minorEastAsia" w:eastAsiaTheme="minorEastAsia" w:hAnsiTheme="minorEastAsia" w:hint="eastAsia"/>
        </w:rPr>
        <w:t>建议不可行，应按上述程序提交不可行的书面报告，由董事会或股东大会最终决策。</w:t>
      </w:r>
    </w:p>
    <w:p w:rsidR="00EE2E19" w:rsidRDefault="00362DD3" w:rsidP="001E509A">
      <w:pPr>
        <w:pStyle w:val="Default"/>
        <w:snapToGrid w:val="0"/>
        <w:spacing w:beforeLines="50" w:afterLines="50"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第四章实施、管理和监督</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第十七条</w:t>
      </w:r>
      <w:r>
        <w:rPr>
          <w:rFonts w:asciiTheme="minorEastAsia" w:eastAsiaTheme="minorEastAsia" w:hAnsiTheme="minorEastAsia" w:hint="eastAsia"/>
        </w:rPr>
        <w:t>投资项目经股东大会或董事会或总经理审议通过后，由总经理负责实施。</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第十八条</w:t>
      </w:r>
      <w:r>
        <w:rPr>
          <w:rFonts w:asciiTheme="minorEastAsia" w:eastAsiaTheme="minorEastAsia" w:hAnsiTheme="minorEastAsia" w:hint="eastAsia"/>
        </w:rPr>
        <w:t>在投资项目实施过程中，总经理如发现该投资方案有重大疏漏、项目实施的外部环境发生重大变化或受到不可抗力之影响，可能导致投资失败，应提议召开董事会临时会议，对投资方案进行修改、变更或终止。</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经股东大会批准的投资项目，其投资方案的修改、变更或终止需召开临时股东大会进行审议。</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第十九条</w:t>
      </w:r>
      <w:r>
        <w:rPr>
          <w:rFonts w:asciiTheme="minorEastAsia" w:eastAsiaTheme="minorEastAsia" w:hAnsiTheme="minorEastAsia" w:hint="eastAsia"/>
        </w:rPr>
        <w:t>投资项目完成后，总经理应组织相关部门和人员对投资项目进行验收评估，并向董事会、股东大会报告。</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第二十条</w:t>
      </w:r>
      <w:r>
        <w:rPr>
          <w:rFonts w:asciiTheme="minorEastAsia" w:eastAsiaTheme="minorEastAsia" w:hAnsiTheme="minorEastAsia" w:hint="eastAsia"/>
        </w:rPr>
        <w:t>公司对外投资组建子公司或投资参股公司时，应当按照投资协议、被投资单位章程等规定，向被投资单位派出董事、监事或相应的管理人员，参与被投资单位的决策和经营。</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公司派出人员的人选由公司总经理提名并由董事长决定。</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派出人员应当按照公司内部各项规章制度的规定切实履行职责，在被投资单位的经营管理活动中努力维护本公司的利益，实现公司投资的保值、增值。</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第二十一条</w:t>
      </w:r>
      <w:r>
        <w:rPr>
          <w:rFonts w:asciiTheme="minorEastAsia" w:eastAsiaTheme="minorEastAsia" w:hAnsiTheme="minorEastAsia" w:hint="eastAsia"/>
        </w:rPr>
        <w:t>公司财务部应对公司的对外投资项目进行全面完整的财务记录，进行</w:t>
      </w:r>
      <w:r>
        <w:rPr>
          <w:rFonts w:asciiTheme="minorEastAsia" w:eastAsiaTheme="minorEastAsia" w:hAnsiTheme="minorEastAsia" w:hint="eastAsia"/>
        </w:rPr>
        <w:t>详尽的会计核算，按每个投资项目分别建立明细账簿，详尽记录相关资料。</w:t>
      </w:r>
      <w:r>
        <w:rPr>
          <w:rFonts w:asciiTheme="minorEastAsia" w:eastAsiaTheme="minorEastAsia" w:hAnsiTheme="minorEastAsia" w:hint="eastAsia"/>
        </w:rPr>
        <w:lastRenderedPageBreak/>
        <w:t>对外投资的会计核算方法应符合会计准则和会计制度的规定。</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第二十二条</w:t>
      </w:r>
      <w:r>
        <w:rPr>
          <w:rFonts w:asciiTheme="minorEastAsia" w:eastAsiaTheme="minorEastAsia" w:hAnsiTheme="minorEastAsia" w:hint="eastAsia"/>
        </w:rPr>
        <w:t>对外投资的控股子公司的财务工作由公司财务部垂直管理，公司财务部根据分析和管理的需要，按月取得控股子公司的财务报告，以便公司合并报表并对控股子公司的财务状况进行分析，维护公司的权益，确保公司利益不受损害。</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第二十三条</w:t>
      </w:r>
      <w:r>
        <w:rPr>
          <w:rFonts w:asciiTheme="minorEastAsia" w:eastAsiaTheme="minorEastAsia" w:hAnsiTheme="minorEastAsia" w:hint="eastAsia"/>
        </w:rPr>
        <w:t>公司在每年度末对投资项目进行全面检查，对控股子公司进行定期或专项审计。</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第二十四条</w:t>
      </w:r>
      <w:r>
        <w:rPr>
          <w:rFonts w:asciiTheme="minorEastAsia" w:eastAsiaTheme="minorEastAsia" w:hAnsiTheme="minorEastAsia" w:hint="eastAsia"/>
        </w:rPr>
        <w:t>控股子公司的会计核算方法和财务管理中所采用的会计政策及会计估计、变更等应遵循公司的财</w:t>
      </w:r>
      <w:r>
        <w:rPr>
          <w:rFonts w:asciiTheme="minorEastAsia" w:eastAsiaTheme="minorEastAsia" w:hAnsiTheme="minorEastAsia" w:hint="eastAsia"/>
        </w:rPr>
        <w:t>务会计制度及其有关规定。</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第二十五条</w:t>
      </w:r>
      <w:r>
        <w:rPr>
          <w:rFonts w:asciiTheme="minorEastAsia" w:eastAsiaTheme="minorEastAsia" w:hAnsiTheme="minorEastAsia" w:hint="eastAsia"/>
        </w:rPr>
        <w:t>公司董事会应定期了解重大投资项目的执行进展和投资效益情况，如出现未按计划投资、未能实现项目预期收益、投资发生损失等情况，公司董事会应查明原因，追究有关人员的责任。</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第二十六条</w:t>
      </w:r>
      <w:r>
        <w:rPr>
          <w:rFonts w:asciiTheme="minorEastAsia" w:eastAsiaTheme="minorEastAsia" w:hAnsiTheme="minorEastAsia" w:hint="eastAsia"/>
        </w:rPr>
        <w:t>公司内部审计部门、独立董事、监事会应当依据其职责对投资项目进行监督，对违法违规行为及时提出纠正意见，对重大问题及时提出专项报告，提请总经理办公会或董事会讨论处理。</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第二十七条</w:t>
      </w:r>
      <w:r>
        <w:rPr>
          <w:rFonts w:asciiTheme="minorEastAsia" w:eastAsiaTheme="minorEastAsia" w:hAnsiTheme="minorEastAsia" w:hint="eastAsia"/>
        </w:rPr>
        <w:t>对公司所有的投资资产，应由内部审计部门或财务部工作人员进行定期盘点，检查其是否为公司所拥有，并将盘点记录与账面记录相互核对以确认</w:t>
      </w:r>
      <w:r>
        <w:rPr>
          <w:rFonts w:asciiTheme="minorEastAsia" w:eastAsiaTheme="minorEastAsia" w:hAnsiTheme="minorEastAsia" w:hint="eastAsia"/>
        </w:rPr>
        <w:t>账实的一致性。</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第二十八条</w:t>
      </w:r>
      <w:r>
        <w:rPr>
          <w:rFonts w:asciiTheme="minorEastAsia" w:eastAsiaTheme="minorEastAsia" w:hAnsiTheme="minorEastAsia" w:hint="eastAsia"/>
        </w:rPr>
        <w:t>内部审计部门应当将审计重要的对外投资等事项作为年度工作计划的必备内容。</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第二十九条</w:t>
      </w:r>
      <w:r>
        <w:rPr>
          <w:rFonts w:asciiTheme="minorEastAsia" w:eastAsiaTheme="minorEastAsia" w:hAnsiTheme="minorEastAsia" w:hint="eastAsia"/>
        </w:rPr>
        <w:t>内部审计部门应当将对外投资事项相关内部控制制度的完整性、合规性及其实施的有效性作为检查和评估的重点。</w:t>
      </w:r>
    </w:p>
    <w:p w:rsidR="00EE2E19" w:rsidRDefault="00362DD3" w:rsidP="001E509A">
      <w:pPr>
        <w:pStyle w:val="Default"/>
        <w:snapToGrid w:val="0"/>
        <w:spacing w:beforeLines="50" w:afterLines="50"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第五章董事、总经理、其他管理人员及相关责任单位的责任</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第三十条</w:t>
      </w:r>
      <w:r>
        <w:rPr>
          <w:rFonts w:asciiTheme="minorEastAsia" w:eastAsiaTheme="minorEastAsia" w:hAnsiTheme="minorEastAsia" w:hint="eastAsia"/>
        </w:rPr>
        <w:t>公司董事、总经理及其他管理人员应当审慎对待和严格控制投资行为产生的各种风险，对违规或失当的投资行为负有主管责任或直接责任的上述人员应对该项错误投资行为造成的损失依法承担连带责任。</w:t>
      </w:r>
    </w:p>
    <w:p w:rsidR="00EE2E19" w:rsidRDefault="00362DD3">
      <w:pPr>
        <w:pStyle w:val="Default"/>
        <w:snapToGrid w:val="0"/>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上述人员未按本规则规定程序擅自越权审批投资项目，对公司造成损</w:t>
      </w:r>
      <w:r>
        <w:rPr>
          <w:rFonts w:asciiTheme="minorEastAsia" w:eastAsiaTheme="minorEastAsia" w:hAnsiTheme="minorEastAsia" w:hint="eastAsia"/>
        </w:rPr>
        <w:t>害的，应当追究当事人的经济责任和行政责任。</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第三十一条</w:t>
      </w:r>
      <w:r>
        <w:rPr>
          <w:rFonts w:asciiTheme="minorEastAsia" w:eastAsiaTheme="minorEastAsia" w:hAnsiTheme="minorEastAsia" w:hint="eastAsia"/>
        </w:rPr>
        <w:t>责任单位或责任人怠于行使其职责，给公司造成损失的，可视情</w:t>
      </w:r>
      <w:r>
        <w:rPr>
          <w:rFonts w:asciiTheme="minorEastAsia" w:eastAsiaTheme="minorEastAsia" w:hAnsiTheme="minorEastAsia" w:hint="eastAsia"/>
        </w:rPr>
        <w:lastRenderedPageBreak/>
        <w:t>节轻重给予包括经济处罚在内的处分并承担赔偿责任。</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第三十二条</w:t>
      </w:r>
      <w:r>
        <w:rPr>
          <w:rFonts w:asciiTheme="minorEastAsia" w:eastAsiaTheme="minorEastAsia" w:hAnsiTheme="minorEastAsia" w:hint="eastAsia"/>
        </w:rPr>
        <w:t>公司股东大会及董事会有权视公司的损失、风险的大小、情节的轻重决定给予责任单位或责任人相应的处分。</w:t>
      </w:r>
    </w:p>
    <w:p w:rsidR="00EE2E19" w:rsidRDefault="00362DD3" w:rsidP="001E509A">
      <w:pPr>
        <w:pStyle w:val="Default"/>
        <w:snapToGrid w:val="0"/>
        <w:spacing w:beforeLines="50" w:afterLines="50"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第六章附则</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第三十三条</w:t>
      </w:r>
      <w:r>
        <w:rPr>
          <w:rFonts w:asciiTheme="minorEastAsia" w:eastAsiaTheme="minorEastAsia" w:hAnsiTheme="minorEastAsia" w:hint="eastAsia"/>
        </w:rPr>
        <w:t>在本制度中，</w:t>
      </w:r>
      <w:r>
        <w:rPr>
          <w:rFonts w:asciiTheme="minorEastAsia" w:eastAsiaTheme="minorEastAsia" w:hAnsiTheme="minorEastAsia"/>
        </w:rPr>
        <w:t>“</w:t>
      </w:r>
      <w:r>
        <w:rPr>
          <w:rFonts w:asciiTheme="minorEastAsia" w:eastAsiaTheme="minorEastAsia" w:hAnsiTheme="minorEastAsia" w:hint="eastAsia"/>
        </w:rPr>
        <w:t>以上</w:t>
      </w:r>
      <w:r>
        <w:rPr>
          <w:rFonts w:asciiTheme="minorEastAsia" w:eastAsiaTheme="minorEastAsia" w:hAnsiTheme="minorEastAsia"/>
        </w:rPr>
        <w:t>”</w:t>
      </w:r>
      <w:r>
        <w:rPr>
          <w:rFonts w:asciiTheme="minorEastAsia" w:eastAsiaTheme="minorEastAsia" w:hAnsiTheme="minorEastAsia" w:hint="eastAsia"/>
        </w:rPr>
        <w:t>包括本数。</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第三十四条</w:t>
      </w:r>
      <w:r>
        <w:rPr>
          <w:rFonts w:asciiTheme="minorEastAsia" w:eastAsiaTheme="minorEastAsia" w:hAnsiTheme="minorEastAsia" w:hint="eastAsia"/>
        </w:rPr>
        <w:t>本制度的修订由董事会提出修订草案，提请股东大会审议通过。</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第三十五条</w:t>
      </w:r>
      <w:r>
        <w:rPr>
          <w:rFonts w:asciiTheme="minorEastAsia" w:eastAsiaTheme="minorEastAsia" w:hAnsiTheme="minorEastAsia" w:hint="eastAsia"/>
        </w:rPr>
        <w:t>本制度以中文书写，由董事会负责解释，未规定的事项，依照《公司章程》和有关法律、行政法规的规定办理。</w:t>
      </w:r>
    </w:p>
    <w:p w:rsidR="00EE2E19" w:rsidRDefault="00362DD3" w:rsidP="001E509A">
      <w:pPr>
        <w:pStyle w:val="Default"/>
        <w:snapToGrid w:val="0"/>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第三十六条</w:t>
      </w:r>
      <w:r>
        <w:rPr>
          <w:rFonts w:asciiTheme="minorEastAsia" w:eastAsiaTheme="minorEastAsia" w:hAnsiTheme="minorEastAsia" w:hint="eastAsia"/>
        </w:rPr>
        <w:t>本制度经公司股东大会审议后通过后生效实施，修改时亦同。</w:t>
      </w:r>
    </w:p>
    <w:p w:rsidR="00EE2E19" w:rsidRDefault="00EE2E19">
      <w:pPr>
        <w:pStyle w:val="Default"/>
        <w:snapToGrid w:val="0"/>
        <w:spacing w:line="360" w:lineRule="auto"/>
        <w:ind w:firstLineChars="200" w:firstLine="480"/>
        <w:jc w:val="both"/>
        <w:rPr>
          <w:rFonts w:asciiTheme="minorEastAsia" w:eastAsiaTheme="minorEastAsia" w:hAnsiTheme="minorEastAsia"/>
        </w:rPr>
      </w:pPr>
    </w:p>
    <w:p w:rsidR="00EE2E19" w:rsidRDefault="00362DD3">
      <w:pPr>
        <w:pStyle w:val="Default"/>
        <w:snapToGrid w:val="0"/>
        <w:spacing w:line="360" w:lineRule="auto"/>
        <w:ind w:firstLineChars="1850" w:firstLine="4440"/>
        <w:jc w:val="both"/>
        <w:rPr>
          <w:rFonts w:asciiTheme="minorEastAsia" w:eastAsiaTheme="minorEastAsia" w:hAnsiTheme="minorEastAsia"/>
        </w:rPr>
      </w:pPr>
      <w:r>
        <w:rPr>
          <w:rFonts w:asciiTheme="minorEastAsia" w:eastAsiaTheme="minorEastAsia" w:hAnsiTheme="minorEastAsia" w:hint="eastAsia"/>
        </w:rPr>
        <w:t>鞍山森远路桥股份有限公司</w:t>
      </w:r>
      <w:r>
        <w:rPr>
          <w:rFonts w:asciiTheme="minorEastAsia" w:eastAsiaTheme="minorEastAsia" w:hAnsiTheme="minorEastAsia" w:hint="eastAsia"/>
          <w:color w:val="2B2B2B"/>
        </w:rPr>
        <w:t>董事会</w:t>
      </w:r>
    </w:p>
    <w:p w:rsidR="00EE2E19" w:rsidRDefault="00362DD3">
      <w:pPr>
        <w:adjustRightInd w:val="0"/>
        <w:snapToGrid w:val="0"/>
        <w:spacing w:line="360" w:lineRule="auto"/>
        <w:ind w:firstLineChars="2500" w:firstLine="6000"/>
        <w:rPr>
          <w:rFonts w:asciiTheme="minorEastAsia" w:hAnsiTheme="minorEastAsia"/>
          <w:sz w:val="24"/>
          <w:szCs w:val="24"/>
        </w:rPr>
      </w:pPr>
      <w:r>
        <w:rPr>
          <w:rFonts w:asciiTheme="minorEastAsia" w:hAnsiTheme="minorEastAsia"/>
          <w:sz w:val="24"/>
          <w:szCs w:val="24"/>
        </w:rPr>
        <w:t>20</w:t>
      </w:r>
      <w:r>
        <w:rPr>
          <w:rFonts w:asciiTheme="minorEastAsia" w:hAnsiTheme="minorEastAsia"/>
          <w:sz w:val="24"/>
          <w:szCs w:val="24"/>
        </w:rPr>
        <w:t>20</w:t>
      </w:r>
      <w:r>
        <w:rPr>
          <w:rFonts w:asciiTheme="minorEastAsia" w:hAnsiTheme="minorEastAsia" w:hint="eastAsia"/>
          <w:sz w:val="24"/>
          <w:szCs w:val="24"/>
        </w:rPr>
        <w:t>年</w:t>
      </w:r>
      <w:r>
        <w:rPr>
          <w:rFonts w:asciiTheme="minorEastAsia" w:hAnsiTheme="minorEastAsia"/>
          <w:sz w:val="24"/>
          <w:szCs w:val="24"/>
        </w:rPr>
        <w:t>11</w:t>
      </w:r>
      <w:bookmarkStart w:id="0" w:name="_GoBack"/>
      <w:bookmarkEnd w:id="0"/>
      <w:r>
        <w:rPr>
          <w:rFonts w:asciiTheme="minorEastAsia" w:hAnsiTheme="minorEastAsia" w:hint="eastAsia"/>
          <w:sz w:val="24"/>
          <w:szCs w:val="24"/>
        </w:rPr>
        <w:t>月</w:t>
      </w:r>
    </w:p>
    <w:sectPr w:rsidR="00EE2E19" w:rsidSect="00EE2E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DD3" w:rsidRDefault="00362DD3" w:rsidP="001E509A">
      <w:r>
        <w:separator/>
      </w:r>
    </w:p>
  </w:endnote>
  <w:endnote w:type="continuationSeparator" w:id="0">
    <w:p w:rsidR="00362DD3" w:rsidRDefault="00362DD3" w:rsidP="001E50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DD3" w:rsidRDefault="00362DD3" w:rsidP="001E509A">
      <w:r>
        <w:separator/>
      </w:r>
    </w:p>
  </w:footnote>
  <w:footnote w:type="continuationSeparator" w:id="0">
    <w:p w:rsidR="00362DD3" w:rsidRDefault="00362DD3" w:rsidP="001E509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antao">
    <w15:presenceInfo w15:providerId="None" w15:userId="Guanta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264E"/>
    <w:rsid w:val="93AF63AF"/>
    <w:rsid w:val="00000D86"/>
    <w:rsid w:val="00003D1F"/>
    <w:rsid w:val="00003DC9"/>
    <w:rsid w:val="00016579"/>
    <w:rsid w:val="0002022B"/>
    <w:rsid w:val="00023CE3"/>
    <w:rsid w:val="00025B42"/>
    <w:rsid w:val="000312F6"/>
    <w:rsid w:val="00035495"/>
    <w:rsid w:val="000361C5"/>
    <w:rsid w:val="00037847"/>
    <w:rsid w:val="000401CF"/>
    <w:rsid w:val="00044968"/>
    <w:rsid w:val="0004518D"/>
    <w:rsid w:val="000454B4"/>
    <w:rsid w:val="0004669E"/>
    <w:rsid w:val="000528D5"/>
    <w:rsid w:val="0005357D"/>
    <w:rsid w:val="00060A62"/>
    <w:rsid w:val="00061199"/>
    <w:rsid w:val="000639D9"/>
    <w:rsid w:val="00066395"/>
    <w:rsid w:val="00066551"/>
    <w:rsid w:val="00067318"/>
    <w:rsid w:val="00072821"/>
    <w:rsid w:val="00077B50"/>
    <w:rsid w:val="00081AAA"/>
    <w:rsid w:val="0008412E"/>
    <w:rsid w:val="00095B90"/>
    <w:rsid w:val="000B5D5F"/>
    <w:rsid w:val="000C31D8"/>
    <w:rsid w:val="000C5494"/>
    <w:rsid w:val="000D089D"/>
    <w:rsid w:val="000D52F5"/>
    <w:rsid w:val="000E3193"/>
    <w:rsid w:val="000E40B6"/>
    <w:rsid w:val="000E721E"/>
    <w:rsid w:val="000E7801"/>
    <w:rsid w:val="000F288A"/>
    <w:rsid w:val="000F79B6"/>
    <w:rsid w:val="0010099F"/>
    <w:rsid w:val="00100E2A"/>
    <w:rsid w:val="00101383"/>
    <w:rsid w:val="00106412"/>
    <w:rsid w:val="00111BCE"/>
    <w:rsid w:val="00112772"/>
    <w:rsid w:val="001155F0"/>
    <w:rsid w:val="0011716C"/>
    <w:rsid w:val="00123BBA"/>
    <w:rsid w:val="00125313"/>
    <w:rsid w:val="001260E4"/>
    <w:rsid w:val="001308D5"/>
    <w:rsid w:val="001314B3"/>
    <w:rsid w:val="00133B51"/>
    <w:rsid w:val="00137093"/>
    <w:rsid w:val="0013777E"/>
    <w:rsid w:val="001500ED"/>
    <w:rsid w:val="00150A06"/>
    <w:rsid w:val="0015306E"/>
    <w:rsid w:val="0015460E"/>
    <w:rsid w:val="00163B0D"/>
    <w:rsid w:val="00163D93"/>
    <w:rsid w:val="0016469C"/>
    <w:rsid w:val="00167872"/>
    <w:rsid w:val="00170045"/>
    <w:rsid w:val="00170E23"/>
    <w:rsid w:val="00172845"/>
    <w:rsid w:val="001771E0"/>
    <w:rsid w:val="00177780"/>
    <w:rsid w:val="00181113"/>
    <w:rsid w:val="00183204"/>
    <w:rsid w:val="00186D88"/>
    <w:rsid w:val="001908BA"/>
    <w:rsid w:val="001917C2"/>
    <w:rsid w:val="00192C50"/>
    <w:rsid w:val="0019596B"/>
    <w:rsid w:val="001A223E"/>
    <w:rsid w:val="001A4F30"/>
    <w:rsid w:val="001A544D"/>
    <w:rsid w:val="001A57CA"/>
    <w:rsid w:val="001B16DB"/>
    <w:rsid w:val="001C3D57"/>
    <w:rsid w:val="001C448B"/>
    <w:rsid w:val="001D5051"/>
    <w:rsid w:val="001D5310"/>
    <w:rsid w:val="001D6988"/>
    <w:rsid w:val="001D7F60"/>
    <w:rsid w:val="001E113A"/>
    <w:rsid w:val="001E2C44"/>
    <w:rsid w:val="001E4FE2"/>
    <w:rsid w:val="001E509A"/>
    <w:rsid w:val="001F138B"/>
    <w:rsid w:val="001F2B1B"/>
    <w:rsid w:val="00202E92"/>
    <w:rsid w:val="00203C4D"/>
    <w:rsid w:val="00205118"/>
    <w:rsid w:val="002106AF"/>
    <w:rsid w:val="00210765"/>
    <w:rsid w:val="0021374D"/>
    <w:rsid w:val="0021464B"/>
    <w:rsid w:val="00215211"/>
    <w:rsid w:val="00215762"/>
    <w:rsid w:val="00215E4F"/>
    <w:rsid w:val="00223C80"/>
    <w:rsid w:val="00230EF6"/>
    <w:rsid w:val="00233DEE"/>
    <w:rsid w:val="0023626F"/>
    <w:rsid w:val="00237D0F"/>
    <w:rsid w:val="002503BC"/>
    <w:rsid w:val="00254449"/>
    <w:rsid w:val="00260D39"/>
    <w:rsid w:val="0026440E"/>
    <w:rsid w:val="00266C85"/>
    <w:rsid w:val="002701FA"/>
    <w:rsid w:val="00276265"/>
    <w:rsid w:val="00277B07"/>
    <w:rsid w:val="00280304"/>
    <w:rsid w:val="00280912"/>
    <w:rsid w:val="00285D74"/>
    <w:rsid w:val="00285DD7"/>
    <w:rsid w:val="00292630"/>
    <w:rsid w:val="0029522F"/>
    <w:rsid w:val="002954E5"/>
    <w:rsid w:val="00295D7C"/>
    <w:rsid w:val="00297574"/>
    <w:rsid w:val="002A0FEF"/>
    <w:rsid w:val="002A2175"/>
    <w:rsid w:val="002A5023"/>
    <w:rsid w:val="002A60A3"/>
    <w:rsid w:val="002B1DFF"/>
    <w:rsid w:val="002C74CF"/>
    <w:rsid w:val="002D1F9E"/>
    <w:rsid w:val="002D2D4C"/>
    <w:rsid w:val="002D6A37"/>
    <w:rsid w:val="002D7AF3"/>
    <w:rsid w:val="002E1D96"/>
    <w:rsid w:val="002E1DCE"/>
    <w:rsid w:val="002E2041"/>
    <w:rsid w:val="002E583B"/>
    <w:rsid w:val="002E67C3"/>
    <w:rsid w:val="002E7D3B"/>
    <w:rsid w:val="002E7F0C"/>
    <w:rsid w:val="002F0F9A"/>
    <w:rsid w:val="002F31D9"/>
    <w:rsid w:val="00300B7D"/>
    <w:rsid w:val="00302805"/>
    <w:rsid w:val="003234AD"/>
    <w:rsid w:val="003274FE"/>
    <w:rsid w:val="003315E3"/>
    <w:rsid w:val="00335ACA"/>
    <w:rsid w:val="00342062"/>
    <w:rsid w:val="003422ED"/>
    <w:rsid w:val="00343C98"/>
    <w:rsid w:val="003443B0"/>
    <w:rsid w:val="0034476E"/>
    <w:rsid w:val="00344894"/>
    <w:rsid w:val="00352032"/>
    <w:rsid w:val="00352D22"/>
    <w:rsid w:val="00352E8D"/>
    <w:rsid w:val="0035425C"/>
    <w:rsid w:val="0035465F"/>
    <w:rsid w:val="00354FB5"/>
    <w:rsid w:val="00362DD3"/>
    <w:rsid w:val="00363CE0"/>
    <w:rsid w:val="00366D5B"/>
    <w:rsid w:val="003677AC"/>
    <w:rsid w:val="00367F56"/>
    <w:rsid w:val="00372742"/>
    <w:rsid w:val="00374D19"/>
    <w:rsid w:val="003825EE"/>
    <w:rsid w:val="003826E9"/>
    <w:rsid w:val="00384473"/>
    <w:rsid w:val="00390410"/>
    <w:rsid w:val="0039771E"/>
    <w:rsid w:val="00397F61"/>
    <w:rsid w:val="003A31C2"/>
    <w:rsid w:val="003A50FF"/>
    <w:rsid w:val="003A5CB8"/>
    <w:rsid w:val="003B2BE0"/>
    <w:rsid w:val="003B3B23"/>
    <w:rsid w:val="003B47C1"/>
    <w:rsid w:val="003C261E"/>
    <w:rsid w:val="003C5C58"/>
    <w:rsid w:val="003D2E1F"/>
    <w:rsid w:val="003D3472"/>
    <w:rsid w:val="003D41BC"/>
    <w:rsid w:val="003E11D5"/>
    <w:rsid w:val="003E3012"/>
    <w:rsid w:val="003E3449"/>
    <w:rsid w:val="003E7F5A"/>
    <w:rsid w:val="003F5392"/>
    <w:rsid w:val="003F68ED"/>
    <w:rsid w:val="00400DC4"/>
    <w:rsid w:val="004070AB"/>
    <w:rsid w:val="0040734C"/>
    <w:rsid w:val="00410216"/>
    <w:rsid w:val="00410C4D"/>
    <w:rsid w:val="0041419F"/>
    <w:rsid w:val="0041499E"/>
    <w:rsid w:val="00416123"/>
    <w:rsid w:val="0042308D"/>
    <w:rsid w:val="00424763"/>
    <w:rsid w:val="00425D5F"/>
    <w:rsid w:val="004303A1"/>
    <w:rsid w:val="0043146B"/>
    <w:rsid w:val="00436D3B"/>
    <w:rsid w:val="004375C0"/>
    <w:rsid w:val="00441D84"/>
    <w:rsid w:val="00443237"/>
    <w:rsid w:val="004469CB"/>
    <w:rsid w:val="00450245"/>
    <w:rsid w:val="00463D9F"/>
    <w:rsid w:val="0046685A"/>
    <w:rsid w:val="0046733C"/>
    <w:rsid w:val="00473648"/>
    <w:rsid w:val="004750FA"/>
    <w:rsid w:val="0048419E"/>
    <w:rsid w:val="00494028"/>
    <w:rsid w:val="004974BB"/>
    <w:rsid w:val="00497E36"/>
    <w:rsid w:val="004A049D"/>
    <w:rsid w:val="004A242B"/>
    <w:rsid w:val="004A33EC"/>
    <w:rsid w:val="004A4924"/>
    <w:rsid w:val="004B16AD"/>
    <w:rsid w:val="004B2825"/>
    <w:rsid w:val="004B3053"/>
    <w:rsid w:val="004C5EF4"/>
    <w:rsid w:val="004C6672"/>
    <w:rsid w:val="004C681A"/>
    <w:rsid w:val="004D110F"/>
    <w:rsid w:val="004D5AD2"/>
    <w:rsid w:val="004E4A47"/>
    <w:rsid w:val="004E7E07"/>
    <w:rsid w:val="004F0ADA"/>
    <w:rsid w:val="00503308"/>
    <w:rsid w:val="005043DE"/>
    <w:rsid w:val="00505CB1"/>
    <w:rsid w:val="00513D4D"/>
    <w:rsid w:val="005164F2"/>
    <w:rsid w:val="0052624B"/>
    <w:rsid w:val="00532191"/>
    <w:rsid w:val="0053558B"/>
    <w:rsid w:val="00554C3C"/>
    <w:rsid w:val="0056173D"/>
    <w:rsid w:val="00563812"/>
    <w:rsid w:val="00563CF2"/>
    <w:rsid w:val="00564A94"/>
    <w:rsid w:val="00566D4D"/>
    <w:rsid w:val="005706C1"/>
    <w:rsid w:val="00575631"/>
    <w:rsid w:val="00577586"/>
    <w:rsid w:val="0058049A"/>
    <w:rsid w:val="00582BB8"/>
    <w:rsid w:val="00586626"/>
    <w:rsid w:val="00593D48"/>
    <w:rsid w:val="00594C11"/>
    <w:rsid w:val="00595196"/>
    <w:rsid w:val="005A00FF"/>
    <w:rsid w:val="005A5FD4"/>
    <w:rsid w:val="005B12A1"/>
    <w:rsid w:val="005B3D8D"/>
    <w:rsid w:val="005B4B9D"/>
    <w:rsid w:val="005C48CA"/>
    <w:rsid w:val="005C4CB9"/>
    <w:rsid w:val="005C4CE5"/>
    <w:rsid w:val="005C5625"/>
    <w:rsid w:val="005C6AC4"/>
    <w:rsid w:val="005D2DEC"/>
    <w:rsid w:val="005D38E7"/>
    <w:rsid w:val="005D6DEA"/>
    <w:rsid w:val="005E26A1"/>
    <w:rsid w:val="005E4E90"/>
    <w:rsid w:val="005E765F"/>
    <w:rsid w:val="005E7A8C"/>
    <w:rsid w:val="005F0EA9"/>
    <w:rsid w:val="005F1459"/>
    <w:rsid w:val="005F15E8"/>
    <w:rsid w:val="005F5412"/>
    <w:rsid w:val="006006A2"/>
    <w:rsid w:val="00602D51"/>
    <w:rsid w:val="00603B19"/>
    <w:rsid w:val="0060777F"/>
    <w:rsid w:val="00611243"/>
    <w:rsid w:val="006172DC"/>
    <w:rsid w:val="006205FE"/>
    <w:rsid w:val="006242AE"/>
    <w:rsid w:val="00626B81"/>
    <w:rsid w:val="00626F46"/>
    <w:rsid w:val="00630122"/>
    <w:rsid w:val="00632395"/>
    <w:rsid w:val="0063602C"/>
    <w:rsid w:val="0063663A"/>
    <w:rsid w:val="00636679"/>
    <w:rsid w:val="00640BF0"/>
    <w:rsid w:val="00642A8E"/>
    <w:rsid w:val="00645ED1"/>
    <w:rsid w:val="00647B4E"/>
    <w:rsid w:val="00650E28"/>
    <w:rsid w:val="00665738"/>
    <w:rsid w:val="0067361D"/>
    <w:rsid w:val="00675780"/>
    <w:rsid w:val="00680441"/>
    <w:rsid w:val="006823C4"/>
    <w:rsid w:val="00685774"/>
    <w:rsid w:val="0068664D"/>
    <w:rsid w:val="006875C7"/>
    <w:rsid w:val="006925C0"/>
    <w:rsid w:val="006934E2"/>
    <w:rsid w:val="006A1458"/>
    <w:rsid w:val="006A4747"/>
    <w:rsid w:val="006A4B7A"/>
    <w:rsid w:val="006B0A20"/>
    <w:rsid w:val="006B533A"/>
    <w:rsid w:val="006B76DE"/>
    <w:rsid w:val="006C248A"/>
    <w:rsid w:val="006C3353"/>
    <w:rsid w:val="006C3EDC"/>
    <w:rsid w:val="006C46A9"/>
    <w:rsid w:val="006D0C90"/>
    <w:rsid w:val="006D1AE2"/>
    <w:rsid w:val="006D3E7D"/>
    <w:rsid w:val="006E4864"/>
    <w:rsid w:val="006E6A4B"/>
    <w:rsid w:val="006E6ACE"/>
    <w:rsid w:val="006E711D"/>
    <w:rsid w:val="006F022F"/>
    <w:rsid w:val="006F0D71"/>
    <w:rsid w:val="006F2C0D"/>
    <w:rsid w:val="00702B30"/>
    <w:rsid w:val="007141D5"/>
    <w:rsid w:val="00715269"/>
    <w:rsid w:val="0071753F"/>
    <w:rsid w:val="007202A1"/>
    <w:rsid w:val="007210C5"/>
    <w:rsid w:val="00723D9F"/>
    <w:rsid w:val="00724AD5"/>
    <w:rsid w:val="007319D5"/>
    <w:rsid w:val="00734C67"/>
    <w:rsid w:val="00745344"/>
    <w:rsid w:val="00746FDD"/>
    <w:rsid w:val="00750850"/>
    <w:rsid w:val="00752132"/>
    <w:rsid w:val="00753D2A"/>
    <w:rsid w:val="007561B8"/>
    <w:rsid w:val="00761779"/>
    <w:rsid w:val="00765806"/>
    <w:rsid w:val="00773162"/>
    <w:rsid w:val="00777527"/>
    <w:rsid w:val="007865D5"/>
    <w:rsid w:val="00786B4C"/>
    <w:rsid w:val="007871F4"/>
    <w:rsid w:val="00797598"/>
    <w:rsid w:val="007A4817"/>
    <w:rsid w:val="007A4D12"/>
    <w:rsid w:val="007A60D7"/>
    <w:rsid w:val="007B2957"/>
    <w:rsid w:val="007B2E1E"/>
    <w:rsid w:val="007B3A86"/>
    <w:rsid w:val="007B4DE2"/>
    <w:rsid w:val="007B6CD1"/>
    <w:rsid w:val="007C285D"/>
    <w:rsid w:val="007C700B"/>
    <w:rsid w:val="007C762F"/>
    <w:rsid w:val="007D1B70"/>
    <w:rsid w:val="007D3CC2"/>
    <w:rsid w:val="007D5F41"/>
    <w:rsid w:val="007D67A3"/>
    <w:rsid w:val="007D7B3E"/>
    <w:rsid w:val="007E0795"/>
    <w:rsid w:val="007E0976"/>
    <w:rsid w:val="007E1C57"/>
    <w:rsid w:val="007E36D6"/>
    <w:rsid w:val="007E7058"/>
    <w:rsid w:val="007F06D0"/>
    <w:rsid w:val="007F11D8"/>
    <w:rsid w:val="007F357C"/>
    <w:rsid w:val="007F62BE"/>
    <w:rsid w:val="008060FF"/>
    <w:rsid w:val="00806666"/>
    <w:rsid w:val="00812165"/>
    <w:rsid w:val="008160A7"/>
    <w:rsid w:val="0081620C"/>
    <w:rsid w:val="00822C58"/>
    <w:rsid w:val="00831916"/>
    <w:rsid w:val="0083343C"/>
    <w:rsid w:val="0084064A"/>
    <w:rsid w:val="00850C62"/>
    <w:rsid w:val="00850DAE"/>
    <w:rsid w:val="00851139"/>
    <w:rsid w:val="008577AD"/>
    <w:rsid w:val="008601DB"/>
    <w:rsid w:val="00863C63"/>
    <w:rsid w:val="00865645"/>
    <w:rsid w:val="00866E9E"/>
    <w:rsid w:val="00867A0B"/>
    <w:rsid w:val="00867EC4"/>
    <w:rsid w:val="00870A86"/>
    <w:rsid w:val="00872CAE"/>
    <w:rsid w:val="008749FA"/>
    <w:rsid w:val="00875BED"/>
    <w:rsid w:val="0087770B"/>
    <w:rsid w:val="00883D40"/>
    <w:rsid w:val="008866EA"/>
    <w:rsid w:val="00891650"/>
    <w:rsid w:val="00895CBF"/>
    <w:rsid w:val="008973B2"/>
    <w:rsid w:val="008A04F8"/>
    <w:rsid w:val="008A105C"/>
    <w:rsid w:val="008A3DAC"/>
    <w:rsid w:val="008B4A70"/>
    <w:rsid w:val="008B5F88"/>
    <w:rsid w:val="008B72FB"/>
    <w:rsid w:val="008C63D9"/>
    <w:rsid w:val="008D0C94"/>
    <w:rsid w:val="008D1F71"/>
    <w:rsid w:val="008D2526"/>
    <w:rsid w:val="008E0C10"/>
    <w:rsid w:val="008E1398"/>
    <w:rsid w:val="008E77BE"/>
    <w:rsid w:val="008F0F5D"/>
    <w:rsid w:val="008F2423"/>
    <w:rsid w:val="008F314E"/>
    <w:rsid w:val="008F34E8"/>
    <w:rsid w:val="008F6169"/>
    <w:rsid w:val="008F6B12"/>
    <w:rsid w:val="008F76AE"/>
    <w:rsid w:val="00904546"/>
    <w:rsid w:val="009065E8"/>
    <w:rsid w:val="00910BA3"/>
    <w:rsid w:val="00912F92"/>
    <w:rsid w:val="00917B89"/>
    <w:rsid w:val="00925DDD"/>
    <w:rsid w:val="00926DF6"/>
    <w:rsid w:val="0093122B"/>
    <w:rsid w:val="009350E5"/>
    <w:rsid w:val="00940FA1"/>
    <w:rsid w:val="009422EB"/>
    <w:rsid w:val="00942DC9"/>
    <w:rsid w:val="00943479"/>
    <w:rsid w:val="00944DEB"/>
    <w:rsid w:val="00945183"/>
    <w:rsid w:val="009464FD"/>
    <w:rsid w:val="009514DB"/>
    <w:rsid w:val="009560CA"/>
    <w:rsid w:val="009572ED"/>
    <w:rsid w:val="00957AE6"/>
    <w:rsid w:val="00961768"/>
    <w:rsid w:val="00961781"/>
    <w:rsid w:val="00962BB0"/>
    <w:rsid w:val="0096539B"/>
    <w:rsid w:val="00970945"/>
    <w:rsid w:val="0097099B"/>
    <w:rsid w:val="00971630"/>
    <w:rsid w:val="00975686"/>
    <w:rsid w:val="0097621B"/>
    <w:rsid w:val="00977845"/>
    <w:rsid w:val="00980D7C"/>
    <w:rsid w:val="00986815"/>
    <w:rsid w:val="009876C4"/>
    <w:rsid w:val="0099300F"/>
    <w:rsid w:val="0099588C"/>
    <w:rsid w:val="009A4376"/>
    <w:rsid w:val="009B079F"/>
    <w:rsid w:val="009B42CA"/>
    <w:rsid w:val="009B540E"/>
    <w:rsid w:val="009C1166"/>
    <w:rsid w:val="009D2496"/>
    <w:rsid w:val="009D3AFA"/>
    <w:rsid w:val="009E5AA3"/>
    <w:rsid w:val="009E6C91"/>
    <w:rsid w:val="009F060B"/>
    <w:rsid w:val="009F4292"/>
    <w:rsid w:val="009F69EA"/>
    <w:rsid w:val="009F7B31"/>
    <w:rsid w:val="00A01C6A"/>
    <w:rsid w:val="00A03BF6"/>
    <w:rsid w:val="00A0464B"/>
    <w:rsid w:val="00A106C9"/>
    <w:rsid w:val="00A13F93"/>
    <w:rsid w:val="00A15C71"/>
    <w:rsid w:val="00A17D51"/>
    <w:rsid w:val="00A2141B"/>
    <w:rsid w:val="00A22E0A"/>
    <w:rsid w:val="00A26FBB"/>
    <w:rsid w:val="00A3493C"/>
    <w:rsid w:val="00A3505D"/>
    <w:rsid w:val="00A361A4"/>
    <w:rsid w:val="00A37030"/>
    <w:rsid w:val="00A41499"/>
    <w:rsid w:val="00A43F63"/>
    <w:rsid w:val="00A445E0"/>
    <w:rsid w:val="00A45BA5"/>
    <w:rsid w:val="00A474D8"/>
    <w:rsid w:val="00A479CA"/>
    <w:rsid w:val="00A47CB5"/>
    <w:rsid w:val="00A52068"/>
    <w:rsid w:val="00A521C0"/>
    <w:rsid w:val="00A60BBA"/>
    <w:rsid w:val="00A6253C"/>
    <w:rsid w:val="00A626E4"/>
    <w:rsid w:val="00A65368"/>
    <w:rsid w:val="00A6758A"/>
    <w:rsid w:val="00A71BA7"/>
    <w:rsid w:val="00A723FC"/>
    <w:rsid w:val="00A73A02"/>
    <w:rsid w:val="00A7424F"/>
    <w:rsid w:val="00A812E5"/>
    <w:rsid w:val="00A874DF"/>
    <w:rsid w:val="00A900D6"/>
    <w:rsid w:val="00A90299"/>
    <w:rsid w:val="00A90B02"/>
    <w:rsid w:val="00A94F75"/>
    <w:rsid w:val="00A957B8"/>
    <w:rsid w:val="00A96B9A"/>
    <w:rsid w:val="00AA4BC8"/>
    <w:rsid w:val="00AA60B5"/>
    <w:rsid w:val="00AB02A2"/>
    <w:rsid w:val="00AC0978"/>
    <w:rsid w:val="00AC34D3"/>
    <w:rsid w:val="00AD7F2C"/>
    <w:rsid w:val="00AE16F0"/>
    <w:rsid w:val="00AE35A6"/>
    <w:rsid w:val="00AE6FC8"/>
    <w:rsid w:val="00AF0C64"/>
    <w:rsid w:val="00AF44AB"/>
    <w:rsid w:val="00B04B7A"/>
    <w:rsid w:val="00B04EF0"/>
    <w:rsid w:val="00B0604B"/>
    <w:rsid w:val="00B07E49"/>
    <w:rsid w:val="00B12F93"/>
    <w:rsid w:val="00B169DC"/>
    <w:rsid w:val="00B21431"/>
    <w:rsid w:val="00B24937"/>
    <w:rsid w:val="00B25153"/>
    <w:rsid w:val="00B263A7"/>
    <w:rsid w:val="00B2722A"/>
    <w:rsid w:val="00B344C2"/>
    <w:rsid w:val="00B42DE8"/>
    <w:rsid w:val="00B47178"/>
    <w:rsid w:val="00B47549"/>
    <w:rsid w:val="00B47E20"/>
    <w:rsid w:val="00B51C6C"/>
    <w:rsid w:val="00B5229A"/>
    <w:rsid w:val="00B61138"/>
    <w:rsid w:val="00B61281"/>
    <w:rsid w:val="00B6261A"/>
    <w:rsid w:val="00B63422"/>
    <w:rsid w:val="00B6382F"/>
    <w:rsid w:val="00B659D1"/>
    <w:rsid w:val="00B660E0"/>
    <w:rsid w:val="00B70539"/>
    <w:rsid w:val="00B71541"/>
    <w:rsid w:val="00B71DBD"/>
    <w:rsid w:val="00B73CE6"/>
    <w:rsid w:val="00B766F9"/>
    <w:rsid w:val="00B77A9A"/>
    <w:rsid w:val="00B825F9"/>
    <w:rsid w:val="00B83DC9"/>
    <w:rsid w:val="00B879EE"/>
    <w:rsid w:val="00B87A28"/>
    <w:rsid w:val="00B943CD"/>
    <w:rsid w:val="00B94879"/>
    <w:rsid w:val="00B94944"/>
    <w:rsid w:val="00BA1076"/>
    <w:rsid w:val="00BA3337"/>
    <w:rsid w:val="00BA3852"/>
    <w:rsid w:val="00BA4F81"/>
    <w:rsid w:val="00BA56E1"/>
    <w:rsid w:val="00BA7172"/>
    <w:rsid w:val="00BB5446"/>
    <w:rsid w:val="00BB788B"/>
    <w:rsid w:val="00BC0408"/>
    <w:rsid w:val="00BC251A"/>
    <w:rsid w:val="00BC3F93"/>
    <w:rsid w:val="00BC5D65"/>
    <w:rsid w:val="00BC7CCA"/>
    <w:rsid w:val="00BD1091"/>
    <w:rsid w:val="00BD1136"/>
    <w:rsid w:val="00BD1215"/>
    <w:rsid w:val="00BD39C1"/>
    <w:rsid w:val="00BD4C36"/>
    <w:rsid w:val="00BD6559"/>
    <w:rsid w:val="00BE05E3"/>
    <w:rsid w:val="00BE125D"/>
    <w:rsid w:val="00BE181F"/>
    <w:rsid w:val="00BE2EB6"/>
    <w:rsid w:val="00BE2F81"/>
    <w:rsid w:val="00BE74BE"/>
    <w:rsid w:val="00BF1C32"/>
    <w:rsid w:val="00BF214F"/>
    <w:rsid w:val="00BF26C8"/>
    <w:rsid w:val="00C00D84"/>
    <w:rsid w:val="00C024EE"/>
    <w:rsid w:val="00C15A9F"/>
    <w:rsid w:val="00C16957"/>
    <w:rsid w:val="00C16ACE"/>
    <w:rsid w:val="00C205E8"/>
    <w:rsid w:val="00C26CCC"/>
    <w:rsid w:val="00C27FE2"/>
    <w:rsid w:val="00C3078A"/>
    <w:rsid w:val="00C37611"/>
    <w:rsid w:val="00C51BDF"/>
    <w:rsid w:val="00C52E44"/>
    <w:rsid w:val="00C54D80"/>
    <w:rsid w:val="00C56800"/>
    <w:rsid w:val="00C63F11"/>
    <w:rsid w:val="00C65D02"/>
    <w:rsid w:val="00C723E7"/>
    <w:rsid w:val="00C82699"/>
    <w:rsid w:val="00C827AE"/>
    <w:rsid w:val="00C85178"/>
    <w:rsid w:val="00C8589D"/>
    <w:rsid w:val="00C876A6"/>
    <w:rsid w:val="00C9706E"/>
    <w:rsid w:val="00C97179"/>
    <w:rsid w:val="00CA0E96"/>
    <w:rsid w:val="00CA24D4"/>
    <w:rsid w:val="00CA492E"/>
    <w:rsid w:val="00CA4A0D"/>
    <w:rsid w:val="00CB275F"/>
    <w:rsid w:val="00CB6E57"/>
    <w:rsid w:val="00CC52FF"/>
    <w:rsid w:val="00CC5CBE"/>
    <w:rsid w:val="00CC7E7F"/>
    <w:rsid w:val="00CD093C"/>
    <w:rsid w:val="00CE1B7E"/>
    <w:rsid w:val="00CE2155"/>
    <w:rsid w:val="00CE5209"/>
    <w:rsid w:val="00CF41A2"/>
    <w:rsid w:val="00CF58AB"/>
    <w:rsid w:val="00CF711F"/>
    <w:rsid w:val="00D04426"/>
    <w:rsid w:val="00D04960"/>
    <w:rsid w:val="00D04F23"/>
    <w:rsid w:val="00D05322"/>
    <w:rsid w:val="00D058BA"/>
    <w:rsid w:val="00D1008A"/>
    <w:rsid w:val="00D124EC"/>
    <w:rsid w:val="00D13823"/>
    <w:rsid w:val="00D16252"/>
    <w:rsid w:val="00D20630"/>
    <w:rsid w:val="00D22150"/>
    <w:rsid w:val="00D26132"/>
    <w:rsid w:val="00D321DE"/>
    <w:rsid w:val="00D42B2D"/>
    <w:rsid w:val="00D4491A"/>
    <w:rsid w:val="00D46B48"/>
    <w:rsid w:val="00D477CE"/>
    <w:rsid w:val="00D4790C"/>
    <w:rsid w:val="00D50899"/>
    <w:rsid w:val="00D554FF"/>
    <w:rsid w:val="00D63687"/>
    <w:rsid w:val="00D67022"/>
    <w:rsid w:val="00D73360"/>
    <w:rsid w:val="00D773F8"/>
    <w:rsid w:val="00D86A8D"/>
    <w:rsid w:val="00D9005F"/>
    <w:rsid w:val="00D9421A"/>
    <w:rsid w:val="00DA0C1C"/>
    <w:rsid w:val="00DA2433"/>
    <w:rsid w:val="00DA34E7"/>
    <w:rsid w:val="00DA57A8"/>
    <w:rsid w:val="00DB1112"/>
    <w:rsid w:val="00DB112E"/>
    <w:rsid w:val="00DB251F"/>
    <w:rsid w:val="00DB325E"/>
    <w:rsid w:val="00DB4541"/>
    <w:rsid w:val="00DB6356"/>
    <w:rsid w:val="00DB6607"/>
    <w:rsid w:val="00DC587F"/>
    <w:rsid w:val="00DD3899"/>
    <w:rsid w:val="00DD503C"/>
    <w:rsid w:val="00DE02F4"/>
    <w:rsid w:val="00DE69B1"/>
    <w:rsid w:val="00DE6D6E"/>
    <w:rsid w:val="00DE7926"/>
    <w:rsid w:val="00DF191F"/>
    <w:rsid w:val="00DF3F3F"/>
    <w:rsid w:val="00DF6EE8"/>
    <w:rsid w:val="00DF7581"/>
    <w:rsid w:val="00DF7A81"/>
    <w:rsid w:val="00DF7BDC"/>
    <w:rsid w:val="00E018E0"/>
    <w:rsid w:val="00E034D2"/>
    <w:rsid w:val="00E071C2"/>
    <w:rsid w:val="00E103ED"/>
    <w:rsid w:val="00E10716"/>
    <w:rsid w:val="00E208F6"/>
    <w:rsid w:val="00E209CC"/>
    <w:rsid w:val="00E2115C"/>
    <w:rsid w:val="00E2360F"/>
    <w:rsid w:val="00E23A74"/>
    <w:rsid w:val="00E27AD8"/>
    <w:rsid w:val="00E36F1E"/>
    <w:rsid w:val="00E40C65"/>
    <w:rsid w:val="00E41677"/>
    <w:rsid w:val="00E45521"/>
    <w:rsid w:val="00E45556"/>
    <w:rsid w:val="00E552B3"/>
    <w:rsid w:val="00E577BF"/>
    <w:rsid w:val="00E61238"/>
    <w:rsid w:val="00E6312E"/>
    <w:rsid w:val="00E6315F"/>
    <w:rsid w:val="00E65277"/>
    <w:rsid w:val="00E66AED"/>
    <w:rsid w:val="00E675A3"/>
    <w:rsid w:val="00E67E98"/>
    <w:rsid w:val="00E70E31"/>
    <w:rsid w:val="00E81D2D"/>
    <w:rsid w:val="00E85064"/>
    <w:rsid w:val="00E90B7F"/>
    <w:rsid w:val="00E9109D"/>
    <w:rsid w:val="00E95664"/>
    <w:rsid w:val="00EA2285"/>
    <w:rsid w:val="00EA272B"/>
    <w:rsid w:val="00EA4733"/>
    <w:rsid w:val="00EA560B"/>
    <w:rsid w:val="00EA5A50"/>
    <w:rsid w:val="00EA6AE4"/>
    <w:rsid w:val="00EA736C"/>
    <w:rsid w:val="00EB0226"/>
    <w:rsid w:val="00EB264E"/>
    <w:rsid w:val="00EB42A6"/>
    <w:rsid w:val="00EB5E13"/>
    <w:rsid w:val="00EB6DDC"/>
    <w:rsid w:val="00EC3014"/>
    <w:rsid w:val="00EC5E17"/>
    <w:rsid w:val="00ED100B"/>
    <w:rsid w:val="00ED1BEE"/>
    <w:rsid w:val="00EE093A"/>
    <w:rsid w:val="00EE1B5C"/>
    <w:rsid w:val="00EE1B87"/>
    <w:rsid w:val="00EE26E0"/>
    <w:rsid w:val="00EE2E19"/>
    <w:rsid w:val="00EE5D06"/>
    <w:rsid w:val="00EE6599"/>
    <w:rsid w:val="00EF1192"/>
    <w:rsid w:val="00EF18FD"/>
    <w:rsid w:val="00EF1CE3"/>
    <w:rsid w:val="00EF312C"/>
    <w:rsid w:val="00EF3A0E"/>
    <w:rsid w:val="00EF4C1D"/>
    <w:rsid w:val="00EF57AD"/>
    <w:rsid w:val="00F029C1"/>
    <w:rsid w:val="00F05286"/>
    <w:rsid w:val="00F113D4"/>
    <w:rsid w:val="00F12BC1"/>
    <w:rsid w:val="00F14C0F"/>
    <w:rsid w:val="00F14FE6"/>
    <w:rsid w:val="00F173EA"/>
    <w:rsid w:val="00F21199"/>
    <w:rsid w:val="00F25443"/>
    <w:rsid w:val="00F2692C"/>
    <w:rsid w:val="00F30F04"/>
    <w:rsid w:val="00F33CAA"/>
    <w:rsid w:val="00F3587B"/>
    <w:rsid w:val="00F368A6"/>
    <w:rsid w:val="00F36BA5"/>
    <w:rsid w:val="00F36C19"/>
    <w:rsid w:val="00F4669E"/>
    <w:rsid w:val="00F46CE9"/>
    <w:rsid w:val="00F51D5F"/>
    <w:rsid w:val="00F53BB8"/>
    <w:rsid w:val="00F544F9"/>
    <w:rsid w:val="00F56BC5"/>
    <w:rsid w:val="00F62EAF"/>
    <w:rsid w:val="00F65521"/>
    <w:rsid w:val="00F65A61"/>
    <w:rsid w:val="00F660C2"/>
    <w:rsid w:val="00F709F1"/>
    <w:rsid w:val="00F74C1F"/>
    <w:rsid w:val="00F7759B"/>
    <w:rsid w:val="00F7780E"/>
    <w:rsid w:val="00F84CAB"/>
    <w:rsid w:val="00F85072"/>
    <w:rsid w:val="00F85F12"/>
    <w:rsid w:val="00F87B80"/>
    <w:rsid w:val="00F903FB"/>
    <w:rsid w:val="00F926EE"/>
    <w:rsid w:val="00F93271"/>
    <w:rsid w:val="00F9355E"/>
    <w:rsid w:val="00F970C2"/>
    <w:rsid w:val="00FA0A71"/>
    <w:rsid w:val="00FA1C6E"/>
    <w:rsid w:val="00FA48DB"/>
    <w:rsid w:val="00FB564C"/>
    <w:rsid w:val="00FC519C"/>
    <w:rsid w:val="00FC535E"/>
    <w:rsid w:val="00FC54B7"/>
    <w:rsid w:val="00FC621D"/>
    <w:rsid w:val="00FD1B05"/>
    <w:rsid w:val="00FD3391"/>
    <w:rsid w:val="00FD4C24"/>
    <w:rsid w:val="00FE0BE5"/>
    <w:rsid w:val="00FE329D"/>
    <w:rsid w:val="00FF241A"/>
    <w:rsid w:val="00FF7017"/>
    <w:rsid w:val="00FF7074"/>
    <w:rsid w:val="26FB4E99"/>
    <w:rsid w:val="2E93EE13"/>
    <w:rsid w:val="2F6AB797"/>
    <w:rsid w:val="5D7EBEF7"/>
    <w:rsid w:val="5FF784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E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E2E1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E2E19"/>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rsid w:val="00EE2E19"/>
    <w:pPr>
      <w:widowControl w:val="0"/>
      <w:autoSpaceDE w:val="0"/>
      <w:autoSpaceDN w:val="0"/>
      <w:adjustRightInd w:val="0"/>
    </w:pPr>
    <w:rPr>
      <w:rFonts w:ascii="宋体" w:eastAsia="宋体" w:cs="宋体"/>
      <w:color w:val="000000"/>
      <w:sz w:val="24"/>
      <w:szCs w:val="24"/>
    </w:rPr>
  </w:style>
  <w:style w:type="character" w:customStyle="1" w:styleId="Char0">
    <w:name w:val="页眉 Char"/>
    <w:basedOn w:val="a0"/>
    <w:link w:val="a4"/>
    <w:uiPriority w:val="99"/>
    <w:qFormat/>
    <w:rsid w:val="00EE2E19"/>
    <w:rPr>
      <w:sz w:val="18"/>
      <w:szCs w:val="18"/>
    </w:rPr>
  </w:style>
  <w:style w:type="character" w:customStyle="1" w:styleId="Char">
    <w:name w:val="页脚 Char"/>
    <w:basedOn w:val="a0"/>
    <w:link w:val="a3"/>
    <w:uiPriority w:val="99"/>
    <w:qFormat/>
    <w:rsid w:val="00EE2E19"/>
    <w:rPr>
      <w:sz w:val="18"/>
      <w:szCs w:val="18"/>
    </w:rPr>
  </w:style>
  <w:style w:type="paragraph" w:styleId="a5">
    <w:name w:val="Balloon Text"/>
    <w:basedOn w:val="a"/>
    <w:link w:val="Char1"/>
    <w:uiPriority w:val="99"/>
    <w:semiHidden/>
    <w:unhideWhenUsed/>
    <w:rsid w:val="001E509A"/>
    <w:rPr>
      <w:sz w:val="18"/>
      <w:szCs w:val="18"/>
    </w:rPr>
  </w:style>
  <w:style w:type="character" w:customStyle="1" w:styleId="Char1">
    <w:name w:val="批注框文本 Char"/>
    <w:basedOn w:val="a0"/>
    <w:link w:val="a5"/>
    <w:uiPriority w:val="99"/>
    <w:semiHidden/>
    <w:rsid w:val="001E509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602</Words>
  <Characters>3435</Characters>
  <Application>Microsoft Office Word</Application>
  <DocSecurity>0</DocSecurity>
  <Lines>28</Lines>
  <Paragraphs>8</Paragraphs>
  <ScaleCrop>false</ScaleCrop>
  <Company>xitongcheng</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于健</dc:creator>
  <cp:lastModifiedBy>李艳微</cp:lastModifiedBy>
  <cp:revision>14</cp:revision>
  <dcterms:created xsi:type="dcterms:W3CDTF">2018-05-25T17:50:00Z</dcterms:created>
  <dcterms:modified xsi:type="dcterms:W3CDTF">2020-11-13T03:53:00Z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