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F1" w:rsidRDefault="00034B7C">
      <w:pPr>
        <w:pStyle w:val="Default"/>
        <w:snapToGrid w:val="0"/>
        <w:spacing w:line="360" w:lineRule="auto"/>
        <w:jc w:val="center"/>
        <w:rPr>
          <w:rFonts w:ascii="黑体" w:eastAsia="黑体" w:hAnsi="黑体"/>
          <w:sz w:val="36"/>
          <w:szCs w:val="36"/>
        </w:rPr>
      </w:pPr>
      <w:r>
        <w:rPr>
          <w:rFonts w:ascii="黑体" w:eastAsia="黑体" w:hAnsi="黑体" w:hint="eastAsia"/>
          <w:sz w:val="36"/>
          <w:szCs w:val="36"/>
        </w:rPr>
        <w:t>鞍山森远路桥股份有限公司</w:t>
      </w:r>
    </w:p>
    <w:p w:rsidR="005548F1" w:rsidRDefault="00034B7C">
      <w:pPr>
        <w:pStyle w:val="Default"/>
        <w:snapToGrid w:val="0"/>
        <w:spacing w:line="360" w:lineRule="auto"/>
        <w:jc w:val="center"/>
        <w:rPr>
          <w:rFonts w:ascii="黑体" w:eastAsia="黑体" w:hAnsi="黑体"/>
          <w:sz w:val="36"/>
          <w:szCs w:val="36"/>
        </w:rPr>
      </w:pPr>
      <w:r>
        <w:rPr>
          <w:rFonts w:ascii="黑体" w:eastAsia="黑体" w:hAnsi="黑体" w:hint="eastAsia"/>
          <w:sz w:val="36"/>
          <w:szCs w:val="36"/>
        </w:rPr>
        <w:t>对外提供财务资助管理制度</w:t>
      </w:r>
    </w:p>
    <w:p w:rsidR="005548F1" w:rsidRDefault="00034B7C" w:rsidP="00A7710C">
      <w:pPr>
        <w:pStyle w:val="Default"/>
        <w:snapToGrid w:val="0"/>
        <w:spacing w:beforeLines="50" w:afterLines="50" w:line="360" w:lineRule="auto"/>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第一章总则</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第一条</w:t>
      </w:r>
      <w:r>
        <w:rPr>
          <w:rFonts w:asciiTheme="majorEastAsia" w:eastAsiaTheme="majorEastAsia" w:hAnsiTheme="majorEastAsia" w:hint="eastAsia"/>
        </w:rPr>
        <w:t>为依法规范鞍山森远路桥股份有限公司（以下简称</w:t>
      </w:r>
      <w:r>
        <w:rPr>
          <w:rFonts w:asciiTheme="majorEastAsia" w:eastAsiaTheme="majorEastAsia" w:hAnsiTheme="majorEastAsia" w:cs="Times New Roman"/>
        </w:rPr>
        <w:t>“</w:t>
      </w:r>
      <w:r>
        <w:rPr>
          <w:rFonts w:asciiTheme="majorEastAsia" w:eastAsiaTheme="majorEastAsia" w:hAnsiTheme="majorEastAsia" w:hint="eastAsia"/>
        </w:rPr>
        <w:t>公司</w:t>
      </w:r>
      <w:r>
        <w:rPr>
          <w:rFonts w:asciiTheme="majorEastAsia" w:eastAsiaTheme="majorEastAsia" w:hAnsiTheme="majorEastAsia" w:cs="Times New Roman"/>
        </w:rPr>
        <w:t>”</w:t>
      </w:r>
      <w:r>
        <w:rPr>
          <w:rFonts w:asciiTheme="majorEastAsia" w:eastAsiaTheme="majorEastAsia" w:hAnsiTheme="majorEastAsia" w:hint="eastAsia"/>
        </w:rPr>
        <w:t>）对外提供财务资助行为，防范财务风险，提高公司信息披露质量，确保公司经营稳健，根据</w:t>
      </w:r>
      <w:r>
        <w:rPr>
          <w:rFonts w:hAnsi="宋体" w:hint="eastAsia"/>
        </w:rPr>
        <w:t>《中华人民共和国证券法》（以下简称“《证劵法》”）</w:t>
      </w:r>
      <w:r>
        <w:rPr>
          <w:rFonts w:asciiTheme="majorEastAsia" w:eastAsiaTheme="majorEastAsia" w:hAnsiTheme="majorEastAsia" w:hint="eastAsia"/>
        </w:rPr>
        <w:t>、《上市公司信息披露管理办法》、《深圳证券交易所股票上市规则》、《</w:t>
      </w:r>
      <w:r w:rsidR="005548F1" w:rsidRPr="005548F1">
        <w:rPr>
          <w:rFonts w:asciiTheme="majorEastAsia" w:eastAsiaTheme="majorEastAsia" w:hAnsiTheme="majorEastAsia" w:hint="eastAsia"/>
        </w:rPr>
        <w:t>深圳证券交易所上市公司自律监管指引第2号——创业板上市公司规范运作</w:t>
      </w:r>
      <w:r>
        <w:rPr>
          <w:rFonts w:asciiTheme="majorEastAsia" w:eastAsiaTheme="majorEastAsia" w:hAnsiTheme="majorEastAsia" w:hint="eastAsia"/>
        </w:rPr>
        <w:t>》及《公司章程》的有关规定，结合公司的实际情况，特制定本制度。</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第二条</w:t>
      </w:r>
      <w:r>
        <w:rPr>
          <w:rFonts w:asciiTheme="majorEastAsia" w:eastAsiaTheme="majorEastAsia" w:hAnsiTheme="majorEastAsia" w:hint="eastAsia"/>
        </w:rPr>
        <w:t>本制度所称</w:t>
      </w:r>
      <w:r>
        <w:rPr>
          <w:rFonts w:asciiTheme="majorEastAsia" w:eastAsiaTheme="majorEastAsia" w:hAnsiTheme="majorEastAsia" w:cs="Times New Roman"/>
        </w:rPr>
        <w:t>“</w:t>
      </w:r>
      <w:r>
        <w:rPr>
          <w:rFonts w:asciiTheme="majorEastAsia" w:eastAsiaTheme="majorEastAsia" w:hAnsiTheme="majorEastAsia" w:hint="eastAsia"/>
        </w:rPr>
        <w:t>对外提供财务资助</w:t>
      </w:r>
      <w:r>
        <w:rPr>
          <w:rFonts w:asciiTheme="majorEastAsia" w:eastAsiaTheme="majorEastAsia" w:hAnsiTheme="majorEastAsia" w:cs="Times New Roman"/>
        </w:rPr>
        <w:t>”</w:t>
      </w:r>
      <w:r>
        <w:rPr>
          <w:rFonts w:asciiTheme="majorEastAsia" w:eastAsiaTheme="majorEastAsia" w:hAnsiTheme="majorEastAsia" w:hint="eastAsia"/>
        </w:rPr>
        <w:t>，是指公司及其控股子公司有偿或者无偿对外提供资金、委托贷款等行为，包括但不限于：</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（一）借款或委托贷款；</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（二）承担费用；</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（三）无偿提供资产使用权；</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（四）深交所认定的其他构成实质性财务资助的行为，如支付预付款比例明显高于同行业一般水平，或收取资产使用权的费用明显低于行业一般水平。</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第三条</w:t>
      </w:r>
      <w:r>
        <w:rPr>
          <w:rFonts w:asciiTheme="majorEastAsia" w:eastAsiaTheme="majorEastAsia" w:hAnsiTheme="majorEastAsia" w:hint="eastAsia"/>
        </w:rPr>
        <w:t>公司及其控股子公司对外提供财务资助适用本制度。</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公司及其控股子公司为公司合并报表范围内且持股比例超过</w:t>
      </w:r>
      <w:r>
        <w:rPr>
          <w:rFonts w:asciiTheme="majorEastAsia" w:eastAsiaTheme="majorEastAsia" w:hAnsiTheme="majorEastAsia" w:cs="Times New Roman"/>
        </w:rPr>
        <w:t>50%</w:t>
      </w:r>
      <w:r>
        <w:rPr>
          <w:rFonts w:asciiTheme="majorEastAsia" w:eastAsiaTheme="majorEastAsia" w:hAnsiTheme="majorEastAsia" w:hint="eastAsia"/>
        </w:rPr>
        <w:t>的控股子公司</w:t>
      </w:r>
      <w:r>
        <w:rPr>
          <w:rFonts w:asciiTheme="majorEastAsia" w:eastAsiaTheme="majorEastAsia" w:hAnsiTheme="majorEastAsia"/>
        </w:rPr>
        <w:t>（</w:t>
      </w:r>
      <w:r w:rsidR="005548F1" w:rsidRPr="005548F1">
        <w:rPr>
          <w:rFonts w:asciiTheme="majorEastAsia" w:eastAsiaTheme="majorEastAsia" w:hAnsiTheme="majorEastAsia" w:hint="eastAsia"/>
        </w:rPr>
        <w:t>且该控股子公司其他股东中不包含公司的控股股东、实际控制人及其关联人</w:t>
      </w:r>
      <w:r>
        <w:rPr>
          <w:rFonts w:asciiTheme="majorEastAsia" w:eastAsiaTheme="majorEastAsia" w:hAnsiTheme="majorEastAsia"/>
        </w:rPr>
        <w:t>）</w:t>
      </w:r>
      <w:r>
        <w:rPr>
          <w:rFonts w:asciiTheme="majorEastAsia" w:eastAsiaTheme="majorEastAsia" w:hAnsiTheme="majorEastAsia" w:hint="eastAsia"/>
        </w:rPr>
        <w:t>提供财务资助的，不适用本制度的规定。</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公司及其控股子公司向与关联人共同投资形成的控股子公司提供财务资助，适用本制度。</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第四条</w:t>
      </w:r>
      <w:r>
        <w:rPr>
          <w:rFonts w:asciiTheme="majorEastAsia" w:eastAsiaTheme="majorEastAsia" w:hAnsiTheme="majorEastAsia" w:hint="eastAsia"/>
        </w:rPr>
        <w:t>公司不得为董事、监事、高级管理人员、控股股东、实际控制人及其控股子公司等关联人提供财务资助。</w:t>
      </w:r>
    </w:p>
    <w:p w:rsidR="005548F1" w:rsidRDefault="00034B7C" w:rsidP="00A7710C">
      <w:pPr>
        <w:pStyle w:val="Default"/>
        <w:snapToGrid w:val="0"/>
        <w:spacing w:line="360" w:lineRule="auto"/>
        <w:ind w:firstLineChars="200" w:firstLine="482"/>
        <w:rPr>
          <w:rFonts w:asciiTheme="majorEastAsia" w:eastAsiaTheme="majorEastAsia" w:hAnsiTheme="majorEastAsia"/>
        </w:rPr>
      </w:pPr>
      <w:r>
        <w:rPr>
          <w:rFonts w:asciiTheme="majorEastAsia" w:eastAsiaTheme="majorEastAsia" w:hAnsiTheme="majorEastAsia" w:hint="eastAsia"/>
          <w:b/>
        </w:rPr>
        <w:t>第五条</w:t>
      </w:r>
      <w:r>
        <w:rPr>
          <w:rFonts w:asciiTheme="majorEastAsia" w:eastAsiaTheme="majorEastAsia" w:hAnsiTheme="majorEastAsia" w:hint="eastAsia"/>
        </w:rPr>
        <w:t>公司在以下期间，不得对外提供财务资助：</w:t>
      </w:r>
      <w:r>
        <w:rPr>
          <w:rFonts w:asciiTheme="majorEastAsia" w:eastAsiaTheme="majorEastAsia" w:hAnsiTheme="majorEastAsia" w:hint="eastAsia"/>
        </w:rPr>
        <w:t xml:space="preserve"> </w:t>
      </w:r>
    </w:p>
    <w:p w:rsidR="005548F1" w:rsidRDefault="00034B7C">
      <w:pPr>
        <w:pStyle w:val="Default"/>
        <w:snapToGrid w:val="0"/>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（一）使用闲置募集资金暂时补充流动资金期间；</w:t>
      </w:r>
      <w:r>
        <w:rPr>
          <w:rFonts w:asciiTheme="majorEastAsia" w:eastAsiaTheme="majorEastAsia" w:hAnsiTheme="majorEastAsia" w:hint="eastAsia"/>
        </w:rPr>
        <w:t xml:space="preserve"> </w:t>
      </w:r>
    </w:p>
    <w:p w:rsidR="005548F1" w:rsidRDefault="00034B7C">
      <w:pPr>
        <w:pStyle w:val="Default"/>
        <w:snapToGrid w:val="0"/>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（二）将募集资金投向变更为永久性补充流动资金后十二个月内；</w:t>
      </w:r>
      <w:r>
        <w:rPr>
          <w:rFonts w:asciiTheme="majorEastAsia" w:eastAsiaTheme="majorEastAsia" w:hAnsiTheme="majorEastAsia" w:hint="eastAsia"/>
        </w:rPr>
        <w:t xml:space="preserve"> </w:t>
      </w:r>
    </w:p>
    <w:p w:rsidR="005548F1" w:rsidRDefault="00034B7C">
      <w:pPr>
        <w:pStyle w:val="Default"/>
        <w:snapToGrid w:val="0"/>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（三）将超募资金永久性用于补充流动资金或归还银行贷款后的十二个月内。</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lastRenderedPageBreak/>
        <w:t>公司对外提供财务资助时，应当在公告中承诺在此项对外提供财务资助后的</w:t>
      </w:r>
      <w:r>
        <w:rPr>
          <w:rFonts w:asciiTheme="majorEastAsia" w:eastAsiaTheme="majorEastAsia" w:hAnsiTheme="majorEastAsia" w:hint="eastAsia"/>
        </w:rPr>
        <w:t>十二个月内，除已经收回对外提供财务资助外，不使用闲置募集资金暂时补充流动资金、将募集资金投向变更为永久性补充流动资金、将超募资金永久性用于补充流动资金或者归还银行贷款。</w:t>
      </w:r>
    </w:p>
    <w:p w:rsidR="005548F1" w:rsidRDefault="00034B7C" w:rsidP="00A7710C">
      <w:pPr>
        <w:pStyle w:val="Default"/>
        <w:snapToGrid w:val="0"/>
        <w:spacing w:beforeLines="50" w:afterLines="50" w:line="360" w:lineRule="auto"/>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第二章对外提供财务资助的审批权限及审批程序</w:t>
      </w:r>
    </w:p>
    <w:p w:rsidR="005548F1" w:rsidRDefault="00034B7C" w:rsidP="00A7710C">
      <w:pPr>
        <w:adjustRightInd w:val="0"/>
        <w:snapToGrid w:val="0"/>
        <w:spacing w:line="360" w:lineRule="auto"/>
        <w:ind w:firstLineChars="200" w:firstLine="482"/>
        <w:rPr>
          <w:rFonts w:asciiTheme="majorEastAsia" w:eastAsiaTheme="majorEastAsia" w:hAnsiTheme="majorEastAsia"/>
          <w:sz w:val="24"/>
          <w:szCs w:val="24"/>
        </w:rPr>
      </w:pPr>
      <w:r>
        <w:rPr>
          <w:rFonts w:asciiTheme="majorEastAsia" w:eastAsiaTheme="majorEastAsia" w:hAnsiTheme="majorEastAsia" w:hint="eastAsia"/>
          <w:b/>
          <w:sz w:val="24"/>
          <w:szCs w:val="24"/>
        </w:rPr>
        <w:t>第六条</w:t>
      </w:r>
      <w:r>
        <w:rPr>
          <w:rFonts w:asciiTheme="majorEastAsia" w:eastAsiaTheme="majorEastAsia" w:hAnsiTheme="majorEastAsia" w:hint="eastAsia"/>
          <w:sz w:val="24"/>
          <w:szCs w:val="24"/>
        </w:rPr>
        <w:t>公司对外提供财务资助，必须经董事会审议通过。公司董事会审议对外提供财务资助事项时，应当经出席董事会会议的三分之二以上董事同意并作出决议，并及时履行信息披露义务。</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对关联人共同投资的控股子公司提供财务资助时，关联董事应当回避表决；当表决人数不足三人时，应当直接提交股东大会审议。股东大会表决时，</w:t>
      </w:r>
      <w:r>
        <w:rPr>
          <w:rFonts w:asciiTheme="majorEastAsia" w:eastAsiaTheme="majorEastAsia" w:hAnsiTheme="majorEastAsia" w:hint="eastAsia"/>
        </w:rPr>
        <w:t>关联股东应当回避表决。</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第七条</w:t>
      </w:r>
      <w:r>
        <w:rPr>
          <w:rFonts w:asciiTheme="majorEastAsia" w:eastAsiaTheme="majorEastAsia" w:hAnsiTheme="majorEastAsia" w:hint="eastAsia"/>
        </w:rPr>
        <w:t>公司为其持股比例不超过</w:t>
      </w:r>
      <w:r>
        <w:rPr>
          <w:rFonts w:asciiTheme="majorEastAsia" w:eastAsiaTheme="majorEastAsia" w:hAnsiTheme="majorEastAsia" w:hint="eastAsia"/>
        </w:rPr>
        <w:t>50%</w:t>
      </w:r>
      <w:r>
        <w:rPr>
          <w:rFonts w:asciiTheme="majorEastAsia" w:eastAsiaTheme="majorEastAsia" w:hAnsiTheme="majorEastAsia" w:hint="eastAsia"/>
        </w:rPr>
        <w:t>的控股子公司、参股公司提供资金等财务资助的，该控股子公司、参股公司的其他股东原则上应当按出资比例提供同等条件的财务资助。如其他股东未能以同等条件或者出资比例向公司控股子公司或者参股公司提供财务资助的，应当说明原因并披露公司已要求上述其他股东采取的反担保等措施。</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第八条</w:t>
      </w:r>
      <w:r>
        <w:rPr>
          <w:rFonts w:asciiTheme="majorEastAsia" w:eastAsiaTheme="majorEastAsia" w:hAnsiTheme="majorEastAsia" w:hint="eastAsia"/>
        </w:rPr>
        <w:t>公司为其控股子公司、参股公司提供资金等财务资助，且该控股子公司、参股公司的其他股东中一个或者多个为公司的控股股东、实际控制人及其关联人的，该关联股东应当按出资比例提供同等条件的财务资助。如该关联股东未能以同等条件或者出资比例向公司控股子公司或者参股公司提供财务资助的，公司应当将上述对外财务资助事项提交股东大会审议，与该事项有关联关系的股东应当回避表决</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第九条</w:t>
      </w:r>
      <w:r>
        <w:rPr>
          <w:rFonts w:asciiTheme="majorEastAsia" w:eastAsiaTheme="majorEastAsia" w:hAnsiTheme="majorEastAsia" w:hint="eastAsia"/>
        </w:rPr>
        <w:t>公司董事会审议财务资助事项时，公司独立董事和保荐机构（如适用）应当对该事项的合法合规性、对公司和中小股东权益的影响及存在的风险等发表独立意见。</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第十条</w:t>
      </w:r>
      <w:r>
        <w:rPr>
          <w:rFonts w:asciiTheme="majorEastAsia" w:eastAsiaTheme="majorEastAsia" w:hAnsiTheme="majorEastAsia" w:hint="eastAsia"/>
        </w:rPr>
        <w:t>公</w:t>
      </w:r>
      <w:r>
        <w:rPr>
          <w:rFonts w:asciiTheme="majorEastAsia" w:eastAsiaTheme="majorEastAsia" w:hAnsiTheme="majorEastAsia" w:hint="eastAsia"/>
        </w:rPr>
        <w:t>司对外提供财务资助事项属于下列情形之一的，经董事会审议通过后还应当提交股东大会审议：</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（一）为最近一期经审计的资产负债率超过</w:t>
      </w:r>
      <w:r>
        <w:rPr>
          <w:rFonts w:asciiTheme="majorEastAsia" w:eastAsiaTheme="majorEastAsia" w:hAnsiTheme="majorEastAsia" w:cs="Times New Roman"/>
        </w:rPr>
        <w:t>70%</w:t>
      </w:r>
      <w:r>
        <w:rPr>
          <w:rFonts w:asciiTheme="majorEastAsia" w:eastAsiaTheme="majorEastAsia" w:hAnsiTheme="majorEastAsia" w:hint="eastAsia"/>
        </w:rPr>
        <w:t>的对象提供财务资助；</w:t>
      </w:r>
    </w:p>
    <w:p w:rsidR="005548F1" w:rsidRDefault="00034B7C">
      <w:pPr>
        <w:pStyle w:val="Default"/>
        <w:snapToGrid w:val="0"/>
        <w:spacing w:line="360" w:lineRule="auto"/>
        <w:ind w:firstLineChars="200" w:firstLine="480"/>
        <w:jc w:val="both"/>
        <w:rPr>
          <w:rFonts w:asciiTheme="majorEastAsia" w:eastAsiaTheme="majorEastAsia" w:hAnsiTheme="majorEastAsia" w:cs="Times New Roman"/>
        </w:rPr>
      </w:pPr>
      <w:r>
        <w:rPr>
          <w:rFonts w:asciiTheme="majorEastAsia" w:eastAsiaTheme="majorEastAsia" w:hAnsiTheme="majorEastAsia" w:hint="eastAsia"/>
        </w:rPr>
        <w:t>（二）单次财务资助金额或者连续十二个月内累计提供财务资助金额超过公</w:t>
      </w:r>
      <w:r>
        <w:rPr>
          <w:rFonts w:asciiTheme="majorEastAsia" w:eastAsiaTheme="majorEastAsia" w:hAnsiTheme="majorEastAsia" w:hint="eastAsia"/>
        </w:rPr>
        <w:lastRenderedPageBreak/>
        <w:t>司最近一期经审计净资产</w:t>
      </w:r>
      <w:r>
        <w:rPr>
          <w:rFonts w:asciiTheme="majorEastAsia" w:eastAsiaTheme="majorEastAsia" w:hAnsiTheme="majorEastAsia" w:cs="Times New Roman"/>
        </w:rPr>
        <w:t>10%</w:t>
      </w:r>
      <w:r>
        <w:rPr>
          <w:rFonts w:asciiTheme="majorEastAsia" w:eastAsiaTheme="majorEastAsia" w:hAnsiTheme="majorEastAsia" w:cs="Times New Roman"/>
        </w:rPr>
        <w:t>；</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lang/>
        </w:rPr>
        <w:t>三</w:t>
      </w:r>
      <w:r>
        <w:rPr>
          <w:rFonts w:asciiTheme="majorEastAsia" w:eastAsiaTheme="majorEastAsia" w:hAnsiTheme="majorEastAsia"/>
        </w:rPr>
        <w:t>）</w:t>
      </w:r>
      <w:r>
        <w:rPr>
          <w:rFonts w:asciiTheme="majorEastAsia" w:eastAsiaTheme="majorEastAsia" w:hAnsiTheme="majorEastAsia" w:hint="eastAsia"/>
          <w:lang/>
        </w:rPr>
        <w:t>证券交易所</w:t>
      </w:r>
      <w:r w:rsidR="005548F1" w:rsidRPr="005548F1">
        <w:rPr>
          <w:rFonts w:asciiTheme="majorEastAsia" w:eastAsiaTheme="majorEastAsia" w:hAnsiTheme="majorEastAsia" w:hint="eastAsia"/>
        </w:rPr>
        <w:t>或者</w:t>
      </w:r>
      <w:r>
        <w:rPr>
          <w:rFonts w:asciiTheme="majorEastAsia" w:eastAsiaTheme="majorEastAsia" w:hAnsiTheme="majorEastAsia"/>
        </w:rPr>
        <w:t>《</w:t>
      </w:r>
      <w:r w:rsidR="005548F1" w:rsidRPr="005548F1">
        <w:rPr>
          <w:rFonts w:asciiTheme="majorEastAsia" w:eastAsiaTheme="majorEastAsia" w:hAnsiTheme="majorEastAsia" w:hint="eastAsia"/>
        </w:rPr>
        <w:t>公司章程</w:t>
      </w:r>
      <w:r>
        <w:rPr>
          <w:rFonts w:asciiTheme="majorEastAsia" w:eastAsiaTheme="majorEastAsia" w:hAnsiTheme="majorEastAsia"/>
        </w:rPr>
        <w:t>》</w:t>
      </w:r>
      <w:r w:rsidR="005548F1" w:rsidRPr="005548F1">
        <w:rPr>
          <w:rFonts w:asciiTheme="majorEastAsia" w:eastAsiaTheme="majorEastAsia" w:hAnsiTheme="majorEastAsia" w:hint="eastAsia"/>
        </w:rPr>
        <w:t>规定的其他情形</w:t>
      </w:r>
      <w:r>
        <w:rPr>
          <w:rFonts w:asciiTheme="majorEastAsia" w:eastAsiaTheme="majorEastAsia" w:hAnsiTheme="majorEastAsia" w:hint="eastAsia"/>
        </w:rPr>
        <w:t>。</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第十一条</w:t>
      </w:r>
      <w:r>
        <w:rPr>
          <w:rFonts w:asciiTheme="majorEastAsia" w:eastAsiaTheme="majorEastAsia" w:hAnsiTheme="majorEastAsia" w:hint="eastAsia"/>
        </w:rPr>
        <w:t>公司对外提供财务资助，应当与资助对象等有关方签署协议，约定资助对象应遵守的条件、财务资助的金额、期限、违约责任等内容。</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财务资助款项逾期未收回的，公司不得向同一对象继续提供财务资助或追加提供财务资助。</w:t>
      </w:r>
    </w:p>
    <w:p w:rsidR="005548F1" w:rsidRDefault="00034B7C" w:rsidP="00A7710C">
      <w:pPr>
        <w:pStyle w:val="Default"/>
        <w:snapToGrid w:val="0"/>
        <w:spacing w:beforeLines="50" w:afterLines="50" w:line="360" w:lineRule="auto"/>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第三章对外提供财务资助的操作程序</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第十二条</w:t>
      </w:r>
      <w:r>
        <w:rPr>
          <w:rFonts w:asciiTheme="majorEastAsia" w:eastAsiaTheme="majorEastAsia" w:hAnsiTheme="majorEastAsia" w:hint="eastAsia"/>
        </w:rPr>
        <w:t>对外提供财务资助之前，由公司财务部门负责做好财务资助对象的资产质量、经营情况、行业前景、偿债能力、信用状况等方面的风险调查工作；由内审部对财务部提供的风险评估进行审核。</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第十三条</w:t>
      </w:r>
      <w:r>
        <w:rPr>
          <w:rFonts w:asciiTheme="majorEastAsia" w:eastAsiaTheme="majorEastAsia" w:hAnsiTheme="majorEastAsia" w:hint="eastAsia"/>
        </w:rPr>
        <w:t>对外提供财务资助事项在经本管理办法规定的审批权限程序审批通过后，由公司证券部门负责信息披露工作。</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第十四条</w:t>
      </w:r>
      <w:r>
        <w:rPr>
          <w:rFonts w:asciiTheme="majorEastAsia" w:eastAsiaTheme="majorEastAsia" w:hAnsiTheme="majorEastAsia" w:hint="eastAsia"/>
        </w:rPr>
        <w:t>公司财务部门在董事会或股东大会审议通过后，办理对外提供财务资助手续。</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第十五条</w:t>
      </w:r>
      <w:r>
        <w:rPr>
          <w:rFonts w:asciiTheme="majorEastAsia" w:eastAsiaTheme="majorEastAsia" w:hAnsiTheme="majorEastAsia" w:hint="eastAsia"/>
        </w:rPr>
        <w:t>财务部门负责做好财务资助对象日后的跟踪、监督及其他相关工作，若财务资助对象在约定资助期间到期后未能及时清偿，</w:t>
      </w:r>
      <w:r>
        <w:rPr>
          <w:rFonts w:asciiTheme="majorEastAsia" w:eastAsiaTheme="majorEastAsia" w:hAnsiTheme="majorEastAsia" w:hint="eastAsia"/>
        </w:rPr>
        <w:t>或出现财务困难、资不抵债、破产等严重影响清偿能力情形的，公司财务部门应及时制定补救措施，并将相关情况上报本公司董事会。</w:t>
      </w:r>
    </w:p>
    <w:p w:rsidR="005548F1" w:rsidRDefault="00034B7C" w:rsidP="00A7710C">
      <w:pPr>
        <w:adjustRightInd w:val="0"/>
        <w:snapToGrid w:val="0"/>
        <w:spacing w:line="360" w:lineRule="auto"/>
        <w:ind w:firstLineChars="200" w:firstLine="482"/>
        <w:rPr>
          <w:rFonts w:asciiTheme="majorEastAsia" w:eastAsiaTheme="majorEastAsia" w:hAnsiTheme="majorEastAsia"/>
          <w:sz w:val="24"/>
          <w:szCs w:val="24"/>
        </w:rPr>
      </w:pPr>
      <w:r>
        <w:rPr>
          <w:rFonts w:asciiTheme="majorEastAsia" w:eastAsiaTheme="majorEastAsia" w:hAnsiTheme="majorEastAsia" w:hint="eastAsia"/>
          <w:b/>
          <w:sz w:val="24"/>
          <w:szCs w:val="24"/>
        </w:rPr>
        <w:t>第十六条</w:t>
      </w:r>
      <w:r>
        <w:rPr>
          <w:rFonts w:asciiTheme="majorEastAsia" w:eastAsiaTheme="majorEastAsia" w:hAnsiTheme="majorEastAsia" w:hint="eastAsia"/>
          <w:sz w:val="24"/>
          <w:szCs w:val="24"/>
        </w:rPr>
        <w:t>公司内审部门负责对财务资助事项的合规性进行监督检查。</w:t>
      </w:r>
    </w:p>
    <w:p w:rsidR="005548F1" w:rsidRDefault="00034B7C" w:rsidP="00A7710C">
      <w:pPr>
        <w:pStyle w:val="Default"/>
        <w:snapToGrid w:val="0"/>
        <w:spacing w:beforeLines="50" w:afterLines="50" w:line="360" w:lineRule="auto"/>
        <w:jc w:val="center"/>
        <w:rPr>
          <w:rFonts w:asciiTheme="majorEastAsia" w:eastAsiaTheme="majorEastAsia" w:hAnsiTheme="majorEastAsia"/>
          <w:b/>
          <w:sz w:val="28"/>
          <w:szCs w:val="28"/>
          <w:highlight w:val="yellow"/>
        </w:rPr>
      </w:pPr>
      <w:r>
        <w:rPr>
          <w:rFonts w:asciiTheme="majorEastAsia" w:eastAsiaTheme="majorEastAsia" w:hAnsiTheme="majorEastAsia" w:hint="eastAsia"/>
          <w:b/>
          <w:sz w:val="28"/>
          <w:szCs w:val="28"/>
        </w:rPr>
        <w:t>第四章对外提供财务资助的信息披露</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第十七条</w:t>
      </w:r>
      <w:r>
        <w:rPr>
          <w:rFonts w:asciiTheme="majorEastAsia" w:eastAsiaTheme="majorEastAsia" w:hAnsiTheme="majorEastAsia" w:hint="eastAsia"/>
        </w:rPr>
        <w:t>公司在披露对外提供财务资助事项，应当向深圳证券交易所提交以下文件：（一）公告文稿；（二）董事会决议和决议公告文稿；（三）与本次财务资助有关的协议；（四）独立董事意见；（五）保荐机构意见（如适用）；（六）深圳证券交易所要求的其他文件。</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第十八条</w:t>
      </w:r>
      <w:r>
        <w:rPr>
          <w:rFonts w:asciiTheme="majorEastAsia" w:eastAsiaTheme="majorEastAsia" w:hAnsiTheme="majorEastAsia" w:hint="eastAsia"/>
        </w:rPr>
        <w:t>公司披露的对外提供财务资助事项公告，至少应当包括以下内容：</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（一）财务资助事项概述，包括财务资助协议的主要内容、资金用途以及对财务资助事项的审批程序；</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（二）被资助对象的基本情况，包括但不限于成立时间、注册资本、控股股</w:t>
      </w:r>
      <w:r>
        <w:rPr>
          <w:rFonts w:asciiTheme="majorEastAsia" w:eastAsiaTheme="majorEastAsia" w:hAnsiTheme="majorEastAsia" w:hint="eastAsia"/>
        </w:rPr>
        <w:lastRenderedPageBreak/>
        <w:t>东、实际控制人、法定代表人，主营业务、主要财务指标（至少应包括最近一年经审计的资产</w:t>
      </w:r>
      <w:r>
        <w:rPr>
          <w:rFonts w:asciiTheme="majorEastAsia" w:eastAsiaTheme="majorEastAsia" w:hAnsiTheme="majorEastAsia" w:hint="eastAsia"/>
          <w:lang/>
        </w:rPr>
        <w:t>总额</w:t>
      </w:r>
      <w:r>
        <w:rPr>
          <w:rFonts w:asciiTheme="majorEastAsia" w:eastAsiaTheme="majorEastAsia" w:hAnsiTheme="majorEastAsia" w:hint="eastAsia"/>
        </w:rPr>
        <w:t>、负债</w:t>
      </w:r>
      <w:r>
        <w:rPr>
          <w:rFonts w:asciiTheme="majorEastAsia" w:eastAsiaTheme="majorEastAsia" w:hAnsiTheme="majorEastAsia" w:hint="eastAsia"/>
          <w:lang/>
        </w:rPr>
        <w:t>总额</w:t>
      </w:r>
      <w:r>
        <w:rPr>
          <w:rFonts w:asciiTheme="majorEastAsia" w:eastAsiaTheme="majorEastAsia" w:hAnsiTheme="majorEastAsia" w:hint="eastAsia"/>
        </w:rPr>
        <w:t>、归属于母公司所有者的净资产、营业收入、归属于母公司所有者净利润等）以及资信情况等；与公司是否存在关联关系，如存在，应当披露具体的关联情形；公司在上一会计年度对其发生类似业务的情况；</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（三）所采取的</w:t>
      </w:r>
      <w:r>
        <w:rPr>
          <w:rFonts w:asciiTheme="majorEastAsia" w:eastAsiaTheme="majorEastAsia" w:hAnsiTheme="majorEastAsia" w:hint="eastAsia"/>
        </w:rPr>
        <w:t>风险防范措施。包括但不限于被资助对象或其他第三方就财务资助事项是否提供担保。由第三方就财务资助事项提供担保的，应当披露该第三方的基本情况及其担保履约能力情况；</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四）为与关联方共同投资形成的控股或参股子公司提供财务资助的，应当披露被资助对象的其他股东的基本情况、与公司的关联关系及其按出资比例履行相应义务的情况；其他股东未按同等条件、未按出资比例向该控股或参股子公司相应提供财务资助的，应说明原因以及公司利益未受到损害的理由；</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（五）董事会意见，主要介绍提供财务资助的原因，在对被资助对象的资产质量、经营情况、行</w:t>
      </w:r>
      <w:r>
        <w:rPr>
          <w:rFonts w:asciiTheme="majorEastAsia" w:eastAsiaTheme="majorEastAsia" w:hAnsiTheme="majorEastAsia" w:hint="eastAsia"/>
        </w:rPr>
        <w:t>业前景、偿债能力、信用状况、第三方担保及履约能力情况等进行全面评估的基础上，披露该财务资助事项的利益、风险和公允性，以及董事会对被资助对象偿还债务能力的判断；</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（六）独立董事意见，主要对事项的必要性、合法合规性、公允性、对公司和中小股东权益的影响及存在的风险等发表独立意见；</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（七）保荐机构意见</w:t>
      </w:r>
      <w:r w:rsidR="005548F1" w:rsidRPr="005548F1">
        <w:rPr>
          <w:rFonts w:asciiTheme="majorEastAsia" w:eastAsiaTheme="majorEastAsia" w:hAnsiTheme="majorEastAsia" w:hint="eastAsia"/>
        </w:rPr>
        <w:t>或者独立财务顾问意见</w:t>
      </w:r>
      <w:r>
        <w:rPr>
          <w:rFonts w:asciiTheme="majorEastAsia" w:eastAsiaTheme="majorEastAsia" w:hAnsiTheme="majorEastAsia" w:hint="eastAsia"/>
        </w:rPr>
        <w:t>，主要对</w:t>
      </w:r>
      <w:r>
        <w:rPr>
          <w:rFonts w:asciiTheme="majorEastAsia" w:eastAsiaTheme="majorEastAsia" w:hAnsiTheme="majorEastAsia" w:hint="eastAsia"/>
          <w:lang/>
        </w:rPr>
        <w:t>财务资助</w:t>
      </w:r>
      <w:r>
        <w:rPr>
          <w:rFonts w:asciiTheme="majorEastAsia" w:eastAsiaTheme="majorEastAsia" w:hAnsiTheme="majorEastAsia" w:hint="eastAsia"/>
        </w:rPr>
        <w:t>事项的合法合规性、公允性及存在的风险等发表独立意见</w:t>
      </w:r>
      <w:r>
        <w:rPr>
          <w:rFonts w:asciiTheme="majorEastAsia" w:eastAsiaTheme="majorEastAsia" w:hAnsiTheme="majorEastAsia" w:hint="eastAsia"/>
        </w:rPr>
        <w:t>（如适用）</w:t>
      </w:r>
      <w:r>
        <w:rPr>
          <w:rFonts w:asciiTheme="majorEastAsia" w:eastAsiaTheme="majorEastAsia" w:hAnsiTheme="majorEastAsia" w:hint="eastAsia"/>
        </w:rPr>
        <w:t>；</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（八）公司累计对外提供财务资助金额及逾期</w:t>
      </w:r>
      <w:r w:rsidR="005548F1" w:rsidRPr="005548F1">
        <w:rPr>
          <w:rFonts w:asciiTheme="majorEastAsia" w:eastAsiaTheme="majorEastAsia" w:hAnsiTheme="majorEastAsia" w:hint="eastAsia"/>
        </w:rPr>
        <w:t>未收回的</w:t>
      </w:r>
      <w:bookmarkStart w:id="0" w:name="_GoBack"/>
      <w:bookmarkEnd w:id="0"/>
      <w:r>
        <w:rPr>
          <w:rFonts w:asciiTheme="majorEastAsia" w:eastAsiaTheme="majorEastAsia" w:hAnsiTheme="majorEastAsia" w:hint="eastAsia"/>
        </w:rPr>
        <w:t>金额；</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（九）深圳证券交易所要求的其他内容。</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第十九条</w:t>
      </w:r>
      <w:r>
        <w:rPr>
          <w:rFonts w:asciiTheme="majorEastAsia" w:eastAsiaTheme="majorEastAsia" w:hAnsiTheme="majorEastAsia" w:hint="eastAsia"/>
        </w:rPr>
        <w:t>对于已披露的财务资助事项，公司还应当在出现以下情形之一时及时披露相关情况及拟采取的措施：</w:t>
      </w:r>
    </w:p>
    <w:p w:rsidR="005548F1" w:rsidRDefault="00034B7C">
      <w:pPr>
        <w:adjustRightInd w:val="0"/>
        <w:snapToGrid w:val="0"/>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（一）被资助对象债务到期后未及时履行还款义务的；</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（二）被资助对象或者就财务资助事项提供担保的第三方出现财务困境、资不抵债、现金流转困难、破产、清算及其他严重影响还款能力情形的；</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（三）深圳证券交易所或《公司章程》认定的其他情形。</w:t>
      </w:r>
    </w:p>
    <w:p w:rsidR="005548F1" w:rsidRDefault="00034B7C" w:rsidP="00A7710C">
      <w:pPr>
        <w:pStyle w:val="Default"/>
        <w:snapToGrid w:val="0"/>
        <w:spacing w:beforeLines="50" w:afterLines="50" w:line="360" w:lineRule="auto"/>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第五章罚责</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第二十条</w:t>
      </w:r>
      <w:r>
        <w:rPr>
          <w:rFonts w:asciiTheme="majorEastAsia" w:eastAsiaTheme="majorEastAsia" w:hAnsiTheme="majorEastAsia" w:hint="eastAsia"/>
        </w:rPr>
        <w:t>违反以上规定对外提供财务资助，给公司造成损失或不良影响的，</w:t>
      </w:r>
      <w:r>
        <w:rPr>
          <w:rFonts w:asciiTheme="majorEastAsia" w:eastAsiaTheme="majorEastAsia" w:hAnsiTheme="majorEastAsia" w:hint="eastAsia"/>
        </w:rPr>
        <w:lastRenderedPageBreak/>
        <w:t>将追究有关人员的经济责任。</w:t>
      </w:r>
    </w:p>
    <w:p w:rsidR="005548F1" w:rsidRDefault="00034B7C" w:rsidP="00A7710C">
      <w:pPr>
        <w:pStyle w:val="Default"/>
        <w:snapToGrid w:val="0"/>
        <w:spacing w:beforeLines="50" w:afterLines="50" w:line="360" w:lineRule="auto"/>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第六章附则</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第二十一条</w:t>
      </w:r>
      <w:r>
        <w:rPr>
          <w:rFonts w:asciiTheme="majorEastAsia" w:eastAsiaTheme="majorEastAsia" w:hAnsiTheme="majorEastAsia" w:hint="eastAsia"/>
        </w:rPr>
        <w:t>本制度未尽事宜，依照国家有关法律、法规、规范性文件以及本公司章</w:t>
      </w:r>
      <w:r>
        <w:rPr>
          <w:rFonts w:asciiTheme="majorEastAsia" w:eastAsiaTheme="majorEastAsia" w:hAnsiTheme="majorEastAsia" w:hint="eastAsia"/>
        </w:rPr>
        <w:t>程的有关规定执行。</w:t>
      </w:r>
    </w:p>
    <w:p w:rsidR="005548F1" w:rsidRDefault="00034B7C">
      <w:pPr>
        <w:pStyle w:val="Default"/>
        <w:snapToGrid w:val="0"/>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本制度与有关法律、法规、规范性文件以及《公司章程》有关规定不一致的，以有关法律、法规、规范性文件以及《公司章程》的规定为准。</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第二十二条</w:t>
      </w:r>
      <w:r>
        <w:rPr>
          <w:rFonts w:asciiTheme="majorEastAsia" w:eastAsiaTheme="majorEastAsia" w:hAnsiTheme="majorEastAsia" w:hint="eastAsia"/>
        </w:rPr>
        <w:t>本制度解释权属公司董事会，若需要修订、更改，应由公司董事会决定。</w:t>
      </w:r>
    </w:p>
    <w:p w:rsidR="005548F1" w:rsidRDefault="00034B7C" w:rsidP="00A7710C">
      <w:pPr>
        <w:pStyle w:val="Default"/>
        <w:snapToGrid w:val="0"/>
        <w:spacing w:line="360" w:lineRule="auto"/>
        <w:ind w:firstLineChars="200" w:firstLine="482"/>
        <w:jc w:val="both"/>
        <w:rPr>
          <w:rFonts w:asciiTheme="majorEastAsia" w:eastAsiaTheme="majorEastAsia" w:hAnsiTheme="majorEastAsia"/>
        </w:rPr>
      </w:pPr>
      <w:r>
        <w:rPr>
          <w:rFonts w:asciiTheme="majorEastAsia" w:eastAsiaTheme="majorEastAsia" w:hAnsiTheme="majorEastAsia" w:hint="eastAsia"/>
          <w:b/>
        </w:rPr>
        <w:t>第二十三条</w:t>
      </w:r>
      <w:r>
        <w:rPr>
          <w:rFonts w:asciiTheme="majorEastAsia" w:eastAsiaTheme="majorEastAsia" w:hAnsiTheme="majorEastAsia" w:hint="eastAsia"/>
        </w:rPr>
        <w:t>本制度由董事会审议批准后实施。</w:t>
      </w:r>
    </w:p>
    <w:p w:rsidR="005548F1" w:rsidRDefault="005548F1">
      <w:pPr>
        <w:pStyle w:val="Default"/>
        <w:snapToGrid w:val="0"/>
        <w:spacing w:line="360" w:lineRule="auto"/>
        <w:ind w:firstLineChars="200" w:firstLine="480"/>
        <w:jc w:val="both"/>
        <w:rPr>
          <w:rFonts w:asciiTheme="majorEastAsia" w:eastAsiaTheme="majorEastAsia" w:hAnsiTheme="majorEastAsia"/>
        </w:rPr>
      </w:pPr>
    </w:p>
    <w:p w:rsidR="005548F1" w:rsidRDefault="00034B7C">
      <w:pPr>
        <w:pStyle w:val="Default"/>
        <w:snapToGrid w:val="0"/>
        <w:spacing w:line="360" w:lineRule="auto"/>
        <w:ind w:firstLineChars="1900" w:firstLine="4560"/>
        <w:jc w:val="both"/>
        <w:rPr>
          <w:rFonts w:asciiTheme="majorEastAsia" w:eastAsiaTheme="majorEastAsia" w:hAnsiTheme="majorEastAsia"/>
        </w:rPr>
      </w:pPr>
      <w:r>
        <w:rPr>
          <w:rFonts w:asciiTheme="majorEastAsia" w:eastAsiaTheme="majorEastAsia" w:hAnsiTheme="majorEastAsia" w:hint="eastAsia"/>
        </w:rPr>
        <w:t>鞍山森远路桥股份有限公司董事会</w:t>
      </w:r>
    </w:p>
    <w:p w:rsidR="005548F1" w:rsidRDefault="00034B7C">
      <w:pPr>
        <w:adjustRightInd w:val="0"/>
        <w:snapToGrid w:val="0"/>
        <w:spacing w:line="360" w:lineRule="auto"/>
        <w:ind w:firstLineChars="2400" w:firstLine="5760"/>
        <w:rPr>
          <w:rFonts w:asciiTheme="majorEastAsia" w:eastAsiaTheme="majorEastAsia" w:hAnsiTheme="majorEastAsia"/>
          <w:sz w:val="24"/>
          <w:szCs w:val="24"/>
        </w:rPr>
      </w:pPr>
      <w:r>
        <w:rPr>
          <w:rFonts w:asciiTheme="majorEastAsia" w:eastAsiaTheme="majorEastAsia" w:hAnsiTheme="majorEastAsia"/>
          <w:sz w:val="24"/>
          <w:szCs w:val="24"/>
        </w:rPr>
        <w:t>2022</w:t>
      </w:r>
      <w:r>
        <w:rPr>
          <w:rFonts w:asciiTheme="majorEastAsia" w:eastAsiaTheme="majorEastAsia" w:hAnsiTheme="majorEastAsia" w:hint="eastAsia"/>
          <w:sz w:val="24"/>
          <w:szCs w:val="24"/>
        </w:rPr>
        <w:t>年</w:t>
      </w:r>
      <w:r>
        <w:rPr>
          <w:rFonts w:asciiTheme="majorEastAsia" w:eastAsiaTheme="majorEastAsia" w:hAnsiTheme="majorEastAsia"/>
          <w:sz w:val="24"/>
          <w:szCs w:val="24"/>
        </w:rPr>
        <w:t>4</w:t>
      </w:r>
      <w:r>
        <w:rPr>
          <w:rFonts w:asciiTheme="majorEastAsia" w:eastAsiaTheme="majorEastAsia" w:hAnsiTheme="majorEastAsia" w:hint="eastAsia"/>
          <w:sz w:val="24"/>
          <w:szCs w:val="24"/>
        </w:rPr>
        <w:t>月</w:t>
      </w:r>
    </w:p>
    <w:sectPr w:rsidR="005548F1" w:rsidSect="005548F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CFAF62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B7C" w:rsidRDefault="00034B7C" w:rsidP="00A7710C">
      <w:r>
        <w:separator/>
      </w:r>
    </w:p>
  </w:endnote>
  <w:endnote w:type="continuationSeparator" w:id="0">
    <w:p w:rsidR="00034B7C" w:rsidRDefault="00034B7C" w:rsidP="00A771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B7C" w:rsidRDefault="00034B7C" w:rsidP="00A7710C">
      <w:r>
        <w:separator/>
      </w:r>
    </w:p>
  </w:footnote>
  <w:footnote w:type="continuationSeparator" w:id="0">
    <w:p w:rsidR="00034B7C" w:rsidRDefault="00034B7C" w:rsidP="00A7710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antao">
    <w15:presenceInfo w15:providerId="None" w15:userId="Guant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800"/>
    <w:rsid w:val="95396A5B"/>
    <w:rsid w:val="9B75F000"/>
    <w:rsid w:val="ABEE287B"/>
    <w:rsid w:val="B7FEAEBF"/>
    <w:rsid w:val="BE3E2358"/>
    <w:rsid w:val="D57C33F0"/>
    <w:rsid w:val="D85A8264"/>
    <w:rsid w:val="F6FBAB91"/>
    <w:rsid w:val="F9F76062"/>
    <w:rsid w:val="00000D86"/>
    <w:rsid w:val="00003D1F"/>
    <w:rsid w:val="00003DC9"/>
    <w:rsid w:val="00016579"/>
    <w:rsid w:val="0002022B"/>
    <w:rsid w:val="00023CE3"/>
    <w:rsid w:val="000246DE"/>
    <w:rsid w:val="00025B42"/>
    <w:rsid w:val="000312F6"/>
    <w:rsid w:val="00034B7C"/>
    <w:rsid w:val="00035495"/>
    <w:rsid w:val="000361C5"/>
    <w:rsid w:val="00037847"/>
    <w:rsid w:val="000401CF"/>
    <w:rsid w:val="00044968"/>
    <w:rsid w:val="0004518D"/>
    <w:rsid w:val="000454B4"/>
    <w:rsid w:val="000528D5"/>
    <w:rsid w:val="0005357D"/>
    <w:rsid w:val="00060A62"/>
    <w:rsid w:val="00061199"/>
    <w:rsid w:val="000639D9"/>
    <w:rsid w:val="00066395"/>
    <w:rsid w:val="00066551"/>
    <w:rsid w:val="00067318"/>
    <w:rsid w:val="00072821"/>
    <w:rsid w:val="00073EF7"/>
    <w:rsid w:val="00077B50"/>
    <w:rsid w:val="00081AAA"/>
    <w:rsid w:val="00083E82"/>
    <w:rsid w:val="0008412E"/>
    <w:rsid w:val="00095B90"/>
    <w:rsid w:val="00095F0B"/>
    <w:rsid w:val="000B5D5F"/>
    <w:rsid w:val="000C31D8"/>
    <w:rsid w:val="000C5494"/>
    <w:rsid w:val="000D089D"/>
    <w:rsid w:val="000D52F5"/>
    <w:rsid w:val="000E3193"/>
    <w:rsid w:val="000E40B6"/>
    <w:rsid w:val="000E721E"/>
    <w:rsid w:val="000E7801"/>
    <w:rsid w:val="000F288A"/>
    <w:rsid w:val="000F79B6"/>
    <w:rsid w:val="0010099F"/>
    <w:rsid w:val="00100E2A"/>
    <w:rsid w:val="00101383"/>
    <w:rsid w:val="00103D92"/>
    <w:rsid w:val="00111BCE"/>
    <w:rsid w:val="00112772"/>
    <w:rsid w:val="00123BBA"/>
    <w:rsid w:val="00125313"/>
    <w:rsid w:val="001260E4"/>
    <w:rsid w:val="001308D5"/>
    <w:rsid w:val="001314B3"/>
    <w:rsid w:val="001316E1"/>
    <w:rsid w:val="00137093"/>
    <w:rsid w:val="001500ED"/>
    <w:rsid w:val="00150A06"/>
    <w:rsid w:val="0015306E"/>
    <w:rsid w:val="0015460E"/>
    <w:rsid w:val="00163B0D"/>
    <w:rsid w:val="00163D93"/>
    <w:rsid w:val="0016469C"/>
    <w:rsid w:val="00167872"/>
    <w:rsid w:val="00170045"/>
    <w:rsid w:val="00170E23"/>
    <w:rsid w:val="00172845"/>
    <w:rsid w:val="001771E0"/>
    <w:rsid w:val="00177780"/>
    <w:rsid w:val="00181113"/>
    <w:rsid w:val="00183204"/>
    <w:rsid w:val="00186D88"/>
    <w:rsid w:val="001908BA"/>
    <w:rsid w:val="001917C2"/>
    <w:rsid w:val="00192C50"/>
    <w:rsid w:val="0019596B"/>
    <w:rsid w:val="001A223E"/>
    <w:rsid w:val="001A4F30"/>
    <w:rsid w:val="001A544D"/>
    <w:rsid w:val="001A57CA"/>
    <w:rsid w:val="001B16DB"/>
    <w:rsid w:val="001B282B"/>
    <w:rsid w:val="001C3D57"/>
    <w:rsid w:val="001C448B"/>
    <w:rsid w:val="001D5051"/>
    <w:rsid w:val="001D5310"/>
    <w:rsid w:val="001D6988"/>
    <w:rsid w:val="001D7F60"/>
    <w:rsid w:val="001E113A"/>
    <w:rsid w:val="001E2C44"/>
    <w:rsid w:val="001E4FE2"/>
    <w:rsid w:val="001F138B"/>
    <w:rsid w:val="001F2B1B"/>
    <w:rsid w:val="00202E92"/>
    <w:rsid w:val="00203C4D"/>
    <w:rsid w:val="00205118"/>
    <w:rsid w:val="002106AF"/>
    <w:rsid w:val="00210765"/>
    <w:rsid w:val="0021374D"/>
    <w:rsid w:val="0021464B"/>
    <w:rsid w:val="00215211"/>
    <w:rsid w:val="00215762"/>
    <w:rsid w:val="00215E4F"/>
    <w:rsid w:val="00223C80"/>
    <w:rsid w:val="00230EF6"/>
    <w:rsid w:val="00233DEE"/>
    <w:rsid w:val="0023626F"/>
    <w:rsid w:val="00237D0F"/>
    <w:rsid w:val="002503BC"/>
    <w:rsid w:val="00250B4F"/>
    <w:rsid w:val="00254449"/>
    <w:rsid w:val="00260D39"/>
    <w:rsid w:val="0026440E"/>
    <w:rsid w:val="00266C85"/>
    <w:rsid w:val="002701FA"/>
    <w:rsid w:val="00276265"/>
    <w:rsid w:val="00277B07"/>
    <w:rsid w:val="00280304"/>
    <w:rsid w:val="00280912"/>
    <w:rsid w:val="00285D74"/>
    <w:rsid w:val="00285DD7"/>
    <w:rsid w:val="00292630"/>
    <w:rsid w:val="0029522F"/>
    <w:rsid w:val="00295D7C"/>
    <w:rsid w:val="00297574"/>
    <w:rsid w:val="002A0FEF"/>
    <w:rsid w:val="002A2175"/>
    <w:rsid w:val="002A5023"/>
    <w:rsid w:val="002C0790"/>
    <w:rsid w:val="002C4D24"/>
    <w:rsid w:val="002C74CF"/>
    <w:rsid w:val="002D1F9E"/>
    <w:rsid w:val="002D2D4C"/>
    <w:rsid w:val="002D6A37"/>
    <w:rsid w:val="002D7AF3"/>
    <w:rsid w:val="002E1D96"/>
    <w:rsid w:val="002E1DCE"/>
    <w:rsid w:val="002E2041"/>
    <w:rsid w:val="002E583B"/>
    <w:rsid w:val="002E67C3"/>
    <w:rsid w:val="002E7D3B"/>
    <w:rsid w:val="002E7F0C"/>
    <w:rsid w:val="002F31D9"/>
    <w:rsid w:val="00300B7D"/>
    <w:rsid w:val="00302805"/>
    <w:rsid w:val="003234AD"/>
    <w:rsid w:val="003274FE"/>
    <w:rsid w:val="003315E3"/>
    <w:rsid w:val="00335ACA"/>
    <w:rsid w:val="00342062"/>
    <w:rsid w:val="003422ED"/>
    <w:rsid w:val="00343C98"/>
    <w:rsid w:val="003443B0"/>
    <w:rsid w:val="0034476E"/>
    <w:rsid w:val="00344894"/>
    <w:rsid w:val="00352032"/>
    <w:rsid w:val="00352D22"/>
    <w:rsid w:val="00352E8D"/>
    <w:rsid w:val="0035425C"/>
    <w:rsid w:val="0035465F"/>
    <w:rsid w:val="00354FB5"/>
    <w:rsid w:val="00363CE0"/>
    <w:rsid w:val="00366D5B"/>
    <w:rsid w:val="003677AC"/>
    <w:rsid w:val="00367F56"/>
    <w:rsid w:val="00372742"/>
    <w:rsid w:val="00374D19"/>
    <w:rsid w:val="003825EE"/>
    <w:rsid w:val="003826E9"/>
    <w:rsid w:val="00384473"/>
    <w:rsid w:val="00390410"/>
    <w:rsid w:val="00397F61"/>
    <w:rsid w:val="003A31C2"/>
    <w:rsid w:val="003A50FF"/>
    <w:rsid w:val="003A5CB8"/>
    <w:rsid w:val="003B2BE0"/>
    <w:rsid w:val="003B3B23"/>
    <w:rsid w:val="003B47C1"/>
    <w:rsid w:val="003C261E"/>
    <w:rsid w:val="003C5C58"/>
    <w:rsid w:val="003D2E1F"/>
    <w:rsid w:val="003D3472"/>
    <w:rsid w:val="003D41BC"/>
    <w:rsid w:val="003E11D5"/>
    <w:rsid w:val="003E3012"/>
    <w:rsid w:val="003E3449"/>
    <w:rsid w:val="003E7F5A"/>
    <w:rsid w:val="003F3936"/>
    <w:rsid w:val="003F5392"/>
    <w:rsid w:val="003F68ED"/>
    <w:rsid w:val="00400DC4"/>
    <w:rsid w:val="004070AB"/>
    <w:rsid w:val="0040734C"/>
    <w:rsid w:val="00410216"/>
    <w:rsid w:val="00410C4D"/>
    <w:rsid w:val="0041419F"/>
    <w:rsid w:val="0041499E"/>
    <w:rsid w:val="00416123"/>
    <w:rsid w:val="0042308D"/>
    <w:rsid w:val="00424763"/>
    <w:rsid w:val="00425D5F"/>
    <w:rsid w:val="004303A1"/>
    <w:rsid w:val="0043146B"/>
    <w:rsid w:val="00436D3B"/>
    <w:rsid w:val="004375C0"/>
    <w:rsid w:val="00441D84"/>
    <w:rsid w:val="00443237"/>
    <w:rsid w:val="004469CB"/>
    <w:rsid w:val="00450245"/>
    <w:rsid w:val="00463D9F"/>
    <w:rsid w:val="0046685A"/>
    <w:rsid w:val="0046733C"/>
    <w:rsid w:val="00473648"/>
    <w:rsid w:val="004750FA"/>
    <w:rsid w:val="00494028"/>
    <w:rsid w:val="004974BB"/>
    <w:rsid w:val="00497E36"/>
    <w:rsid w:val="004A049D"/>
    <w:rsid w:val="004A242B"/>
    <w:rsid w:val="004A33EC"/>
    <w:rsid w:val="004A4924"/>
    <w:rsid w:val="004B16AD"/>
    <w:rsid w:val="004B2825"/>
    <w:rsid w:val="004B3053"/>
    <w:rsid w:val="004C5EF4"/>
    <w:rsid w:val="004C6672"/>
    <w:rsid w:val="004C681A"/>
    <w:rsid w:val="004D110F"/>
    <w:rsid w:val="004D5AD2"/>
    <w:rsid w:val="004E4A47"/>
    <w:rsid w:val="004E7E07"/>
    <w:rsid w:val="004F0ADA"/>
    <w:rsid w:val="005032EE"/>
    <w:rsid w:val="00503308"/>
    <w:rsid w:val="005043DE"/>
    <w:rsid w:val="00505CB1"/>
    <w:rsid w:val="00513D4D"/>
    <w:rsid w:val="005164F2"/>
    <w:rsid w:val="0052624B"/>
    <w:rsid w:val="00532191"/>
    <w:rsid w:val="0053558B"/>
    <w:rsid w:val="00537859"/>
    <w:rsid w:val="005476F1"/>
    <w:rsid w:val="005524B6"/>
    <w:rsid w:val="005548F1"/>
    <w:rsid w:val="00554C3C"/>
    <w:rsid w:val="0056173D"/>
    <w:rsid w:val="00563812"/>
    <w:rsid w:val="00563CF2"/>
    <w:rsid w:val="00564A94"/>
    <w:rsid w:val="00566D4D"/>
    <w:rsid w:val="00567707"/>
    <w:rsid w:val="005706C1"/>
    <w:rsid w:val="00571224"/>
    <w:rsid w:val="00575631"/>
    <w:rsid w:val="00577586"/>
    <w:rsid w:val="0058049A"/>
    <w:rsid w:val="00582BB8"/>
    <w:rsid w:val="00586626"/>
    <w:rsid w:val="0059148C"/>
    <w:rsid w:val="00593D48"/>
    <w:rsid w:val="00594C11"/>
    <w:rsid w:val="00595196"/>
    <w:rsid w:val="005A00FF"/>
    <w:rsid w:val="005A5FD4"/>
    <w:rsid w:val="005B12A1"/>
    <w:rsid w:val="005B3D8D"/>
    <w:rsid w:val="005B4B9D"/>
    <w:rsid w:val="005C48CA"/>
    <w:rsid w:val="005C4CB9"/>
    <w:rsid w:val="005C4CE5"/>
    <w:rsid w:val="005C5625"/>
    <w:rsid w:val="005C6AC4"/>
    <w:rsid w:val="005D2DEC"/>
    <w:rsid w:val="005D38E7"/>
    <w:rsid w:val="005D6DEA"/>
    <w:rsid w:val="005E26A1"/>
    <w:rsid w:val="005E4E90"/>
    <w:rsid w:val="005E68FE"/>
    <w:rsid w:val="005E765F"/>
    <w:rsid w:val="005E7A8C"/>
    <w:rsid w:val="005F0EA9"/>
    <w:rsid w:val="005F1459"/>
    <w:rsid w:val="005F15E8"/>
    <w:rsid w:val="005F5412"/>
    <w:rsid w:val="006006A2"/>
    <w:rsid w:val="00602D51"/>
    <w:rsid w:val="00603B19"/>
    <w:rsid w:val="0060777F"/>
    <w:rsid w:val="00611243"/>
    <w:rsid w:val="006172DC"/>
    <w:rsid w:val="006242AE"/>
    <w:rsid w:val="00626B81"/>
    <w:rsid w:val="00626F46"/>
    <w:rsid w:val="00630122"/>
    <w:rsid w:val="00632395"/>
    <w:rsid w:val="0063602C"/>
    <w:rsid w:val="0063663A"/>
    <w:rsid w:val="00640BF0"/>
    <w:rsid w:val="00642A8E"/>
    <w:rsid w:val="00645ED1"/>
    <w:rsid w:val="00647B4E"/>
    <w:rsid w:val="00650E28"/>
    <w:rsid w:val="00665738"/>
    <w:rsid w:val="0067361D"/>
    <w:rsid w:val="00675780"/>
    <w:rsid w:val="00680441"/>
    <w:rsid w:val="006823C4"/>
    <w:rsid w:val="00685774"/>
    <w:rsid w:val="0068664D"/>
    <w:rsid w:val="006875C7"/>
    <w:rsid w:val="006925C0"/>
    <w:rsid w:val="006934E2"/>
    <w:rsid w:val="006A1458"/>
    <w:rsid w:val="006A4747"/>
    <w:rsid w:val="006A4B7A"/>
    <w:rsid w:val="006B0A20"/>
    <w:rsid w:val="006B446A"/>
    <w:rsid w:val="006B533A"/>
    <w:rsid w:val="006B76DE"/>
    <w:rsid w:val="006C248A"/>
    <w:rsid w:val="006C3353"/>
    <w:rsid w:val="006C3EDC"/>
    <w:rsid w:val="006C46A9"/>
    <w:rsid w:val="006D0C90"/>
    <w:rsid w:val="006D1AE2"/>
    <w:rsid w:val="006D3E7D"/>
    <w:rsid w:val="006E4864"/>
    <w:rsid w:val="006E6A4B"/>
    <w:rsid w:val="006E6ACE"/>
    <w:rsid w:val="006E711D"/>
    <w:rsid w:val="006F022F"/>
    <w:rsid w:val="006F0D71"/>
    <w:rsid w:val="006F2C0D"/>
    <w:rsid w:val="00702B30"/>
    <w:rsid w:val="007141D5"/>
    <w:rsid w:val="00715269"/>
    <w:rsid w:val="0071753F"/>
    <w:rsid w:val="007202A1"/>
    <w:rsid w:val="007210C5"/>
    <w:rsid w:val="00723D9F"/>
    <w:rsid w:val="00724AD5"/>
    <w:rsid w:val="007319D5"/>
    <w:rsid w:val="00734C67"/>
    <w:rsid w:val="00745344"/>
    <w:rsid w:val="00750850"/>
    <w:rsid w:val="00750AFB"/>
    <w:rsid w:val="00752132"/>
    <w:rsid w:val="00753D2A"/>
    <w:rsid w:val="007561B8"/>
    <w:rsid w:val="00761779"/>
    <w:rsid w:val="00765806"/>
    <w:rsid w:val="00773162"/>
    <w:rsid w:val="0077656D"/>
    <w:rsid w:val="00777527"/>
    <w:rsid w:val="007865D5"/>
    <w:rsid w:val="00786B4C"/>
    <w:rsid w:val="007871F4"/>
    <w:rsid w:val="00797598"/>
    <w:rsid w:val="007A4817"/>
    <w:rsid w:val="007A4D12"/>
    <w:rsid w:val="007A60D7"/>
    <w:rsid w:val="007B2957"/>
    <w:rsid w:val="007B2E1E"/>
    <w:rsid w:val="007B3A86"/>
    <w:rsid w:val="007B6CD1"/>
    <w:rsid w:val="007C285D"/>
    <w:rsid w:val="007C700B"/>
    <w:rsid w:val="007C762F"/>
    <w:rsid w:val="007D1B70"/>
    <w:rsid w:val="007D3CC2"/>
    <w:rsid w:val="007D5F41"/>
    <w:rsid w:val="007D67A3"/>
    <w:rsid w:val="007D7B3E"/>
    <w:rsid w:val="007E0795"/>
    <w:rsid w:val="007E0976"/>
    <w:rsid w:val="007E1C57"/>
    <w:rsid w:val="007E36D6"/>
    <w:rsid w:val="007E7058"/>
    <w:rsid w:val="007F06D0"/>
    <w:rsid w:val="007F11D8"/>
    <w:rsid w:val="007F357C"/>
    <w:rsid w:val="007F62BE"/>
    <w:rsid w:val="008060FF"/>
    <w:rsid w:val="00806666"/>
    <w:rsid w:val="00812165"/>
    <w:rsid w:val="0081620C"/>
    <w:rsid w:val="00822C58"/>
    <w:rsid w:val="00831916"/>
    <w:rsid w:val="0083343C"/>
    <w:rsid w:val="0084064A"/>
    <w:rsid w:val="00850C62"/>
    <w:rsid w:val="00850DAE"/>
    <w:rsid w:val="00851139"/>
    <w:rsid w:val="008577AD"/>
    <w:rsid w:val="00863C63"/>
    <w:rsid w:val="00865645"/>
    <w:rsid w:val="00866E9E"/>
    <w:rsid w:val="00867A0B"/>
    <w:rsid w:val="00867EC4"/>
    <w:rsid w:val="00870A86"/>
    <w:rsid w:val="00872CAE"/>
    <w:rsid w:val="008730A6"/>
    <w:rsid w:val="008749FA"/>
    <w:rsid w:val="00875BED"/>
    <w:rsid w:val="0087770B"/>
    <w:rsid w:val="00883D40"/>
    <w:rsid w:val="008866EA"/>
    <w:rsid w:val="00891650"/>
    <w:rsid w:val="00895CBF"/>
    <w:rsid w:val="008973B2"/>
    <w:rsid w:val="008A04F8"/>
    <w:rsid w:val="008A105C"/>
    <w:rsid w:val="008A3DAC"/>
    <w:rsid w:val="008B4A70"/>
    <w:rsid w:val="008B5F88"/>
    <w:rsid w:val="008B72FB"/>
    <w:rsid w:val="008C63D9"/>
    <w:rsid w:val="008D0C94"/>
    <w:rsid w:val="008D1F71"/>
    <w:rsid w:val="008D2526"/>
    <w:rsid w:val="008E0C10"/>
    <w:rsid w:val="008E1398"/>
    <w:rsid w:val="008E77BE"/>
    <w:rsid w:val="008F0F5D"/>
    <w:rsid w:val="008F2423"/>
    <w:rsid w:val="008F314E"/>
    <w:rsid w:val="008F34E8"/>
    <w:rsid w:val="008F6169"/>
    <w:rsid w:val="008F6B12"/>
    <w:rsid w:val="008F76AE"/>
    <w:rsid w:val="00904546"/>
    <w:rsid w:val="009065E8"/>
    <w:rsid w:val="00910BA3"/>
    <w:rsid w:val="00912F92"/>
    <w:rsid w:val="0091547C"/>
    <w:rsid w:val="00917B89"/>
    <w:rsid w:val="00925DDD"/>
    <w:rsid w:val="00926DF6"/>
    <w:rsid w:val="009422EB"/>
    <w:rsid w:val="00942DC9"/>
    <w:rsid w:val="00943479"/>
    <w:rsid w:val="00944DEB"/>
    <w:rsid w:val="00945183"/>
    <w:rsid w:val="009464FD"/>
    <w:rsid w:val="009514DB"/>
    <w:rsid w:val="009560CA"/>
    <w:rsid w:val="009572ED"/>
    <w:rsid w:val="00957AE6"/>
    <w:rsid w:val="00961768"/>
    <w:rsid w:val="00961781"/>
    <w:rsid w:val="00962BB0"/>
    <w:rsid w:val="0096539B"/>
    <w:rsid w:val="00970945"/>
    <w:rsid w:val="0097099B"/>
    <w:rsid w:val="00971630"/>
    <w:rsid w:val="00975686"/>
    <w:rsid w:val="0097621B"/>
    <w:rsid w:val="00977845"/>
    <w:rsid w:val="00980D7C"/>
    <w:rsid w:val="00986815"/>
    <w:rsid w:val="009876C4"/>
    <w:rsid w:val="0099300F"/>
    <w:rsid w:val="0099588C"/>
    <w:rsid w:val="009A4376"/>
    <w:rsid w:val="009B079F"/>
    <w:rsid w:val="009B42CA"/>
    <w:rsid w:val="009B540E"/>
    <w:rsid w:val="009C1166"/>
    <w:rsid w:val="009D2496"/>
    <w:rsid w:val="009D3AFA"/>
    <w:rsid w:val="009E53A5"/>
    <w:rsid w:val="009E5AA3"/>
    <w:rsid w:val="009E6C91"/>
    <w:rsid w:val="009F060B"/>
    <w:rsid w:val="009F4292"/>
    <w:rsid w:val="009F69EA"/>
    <w:rsid w:val="009F7B31"/>
    <w:rsid w:val="00A01C6A"/>
    <w:rsid w:val="00A03BF6"/>
    <w:rsid w:val="00A0464B"/>
    <w:rsid w:val="00A106C9"/>
    <w:rsid w:val="00A13F93"/>
    <w:rsid w:val="00A15C71"/>
    <w:rsid w:val="00A17D51"/>
    <w:rsid w:val="00A2141B"/>
    <w:rsid w:val="00A22E0A"/>
    <w:rsid w:val="00A26FBB"/>
    <w:rsid w:val="00A3493C"/>
    <w:rsid w:val="00A3505D"/>
    <w:rsid w:val="00A361A4"/>
    <w:rsid w:val="00A37030"/>
    <w:rsid w:val="00A41499"/>
    <w:rsid w:val="00A43F63"/>
    <w:rsid w:val="00A445E0"/>
    <w:rsid w:val="00A45BA5"/>
    <w:rsid w:val="00A474D8"/>
    <w:rsid w:val="00A479CA"/>
    <w:rsid w:val="00A47CB5"/>
    <w:rsid w:val="00A52068"/>
    <w:rsid w:val="00A521C0"/>
    <w:rsid w:val="00A60BBA"/>
    <w:rsid w:val="00A6253C"/>
    <w:rsid w:val="00A626E4"/>
    <w:rsid w:val="00A65368"/>
    <w:rsid w:val="00A71BA7"/>
    <w:rsid w:val="00A723FC"/>
    <w:rsid w:val="00A73A02"/>
    <w:rsid w:val="00A7424F"/>
    <w:rsid w:val="00A7710C"/>
    <w:rsid w:val="00A812E5"/>
    <w:rsid w:val="00A874DF"/>
    <w:rsid w:val="00A900D6"/>
    <w:rsid w:val="00A90299"/>
    <w:rsid w:val="00A90B02"/>
    <w:rsid w:val="00A94F75"/>
    <w:rsid w:val="00A957B8"/>
    <w:rsid w:val="00A96B9A"/>
    <w:rsid w:val="00AA4BC8"/>
    <w:rsid w:val="00AA60B5"/>
    <w:rsid w:val="00AB02A2"/>
    <w:rsid w:val="00AC0978"/>
    <w:rsid w:val="00AC34D3"/>
    <w:rsid w:val="00AD7F2C"/>
    <w:rsid w:val="00AE16F0"/>
    <w:rsid w:val="00AE35A6"/>
    <w:rsid w:val="00AE6FC8"/>
    <w:rsid w:val="00AF0C64"/>
    <w:rsid w:val="00AF44AB"/>
    <w:rsid w:val="00B04B7A"/>
    <w:rsid w:val="00B04EF0"/>
    <w:rsid w:val="00B0604B"/>
    <w:rsid w:val="00B07E49"/>
    <w:rsid w:val="00B12F93"/>
    <w:rsid w:val="00B169DC"/>
    <w:rsid w:val="00B21431"/>
    <w:rsid w:val="00B24937"/>
    <w:rsid w:val="00B25153"/>
    <w:rsid w:val="00B263A7"/>
    <w:rsid w:val="00B2722A"/>
    <w:rsid w:val="00B344C2"/>
    <w:rsid w:val="00B42DE8"/>
    <w:rsid w:val="00B47178"/>
    <w:rsid w:val="00B47549"/>
    <w:rsid w:val="00B47E20"/>
    <w:rsid w:val="00B51C6C"/>
    <w:rsid w:val="00B5229A"/>
    <w:rsid w:val="00B57D05"/>
    <w:rsid w:val="00B61138"/>
    <w:rsid w:val="00B61281"/>
    <w:rsid w:val="00B6261A"/>
    <w:rsid w:val="00B63422"/>
    <w:rsid w:val="00B6382F"/>
    <w:rsid w:val="00B659D1"/>
    <w:rsid w:val="00B70539"/>
    <w:rsid w:val="00B71541"/>
    <w:rsid w:val="00B73CE6"/>
    <w:rsid w:val="00B766F9"/>
    <w:rsid w:val="00B77A9A"/>
    <w:rsid w:val="00B81800"/>
    <w:rsid w:val="00B825F9"/>
    <w:rsid w:val="00B83DC9"/>
    <w:rsid w:val="00B879EE"/>
    <w:rsid w:val="00B87A28"/>
    <w:rsid w:val="00B943CD"/>
    <w:rsid w:val="00B94879"/>
    <w:rsid w:val="00B94944"/>
    <w:rsid w:val="00BA1076"/>
    <w:rsid w:val="00BA3337"/>
    <w:rsid w:val="00BA3852"/>
    <w:rsid w:val="00BA4F81"/>
    <w:rsid w:val="00BA56E1"/>
    <w:rsid w:val="00BA64D4"/>
    <w:rsid w:val="00BA7172"/>
    <w:rsid w:val="00BB5446"/>
    <w:rsid w:val="00BB788B"/>
    <w:rsid w:val="00BC0408"/>
    <w:rsid w:val="00BC251A"/>
    <w:rsid w:val="00BC3F93"/>
    <w:rsid w:val="00BC5D65"/>
    <w:rsid w:val="00BC7CCA"/>
    <w:rsid w:val="00BD1091"/>
    <w:rsid w:val="00BD1136"/>
    <w:rsid w:val="00BD1215"/>
    <w:rsid w:val="00BD39C1"/>
    <w:rsid w:val="00BD4C36"/>
    <w:rsid w:val="00BD6559"/>
    <w:rsid w:val="00BE05E3"/>
    <w:rsid w:val="00BE125D"/>
    <w:rsid w:val="00BE181F"/>
    <w:rsid w:val="00BE2EB6"/>
    <w:rsid w:val="00BE2F81"/>
    <w:rsid w:val="00BE74BE"/>
    <w:rsid w:val="00BF1C32"/>
    <w:rsid w:val="00BF214F"/>
    <w:rsid w:val="00BF26C8"/>
    <w:rsid w:val="00C00D84"/>
    <w:rsid w:val="00C024EE"/>
    <w:rsid w:val="00C15A9F"/>
    <w:rsid w:val="00C16957"/>
    <w:rsid w:val="00C16ACE"/>
    <w:rsid w:val="00C205E8"/>
    <w:rsid w:val="00C26CCC"/>
    <w:rsid w:val="00C27FE2"/>
    <w:rsid w:val="00C3078A"/>
    <w:rsid w:val="00C37611"/>
    <w:rsid w:val="00C41EFA"/>
    <w:rsid w:val="00C51BDF"/>
    <w:rsid w:val="00C52CA4"/>
    <w:rsid w:val="00C52E44"/>
    <w:rsid w:val="00C54D80"/>
    <w:rsid w:val="00C56800"/>
    <w:rsid w:val="00C65D02"/>
    <w:rsid w:val="00C723E7"/>
    <w:rsid w:val="00C82699"/>
    <w:rsid w:val="00C827AE"/>
    <w:rsid w:val="00C85178"/>
    <w:rsid w:val="00C8589D"/>
    <w:rsid w:val="00C876A6"/>
    <w:rsid w:val="00C9706E"/>
    <w:rsid w:val="00C97179"/>
    <w:rsid w:val="00CA0E96"/>
    <w:rsid w:val="00CA24D4"/>
    <w:rsid w:val="00CA492E"/>
    <w:rsid w:val="00CA4A0D"/>
    <w:rsid w:val="00CB6E57"/>
    <w:rsid w:val="00CC52FF"/>
    <w:rsid w:val="00CC5CBE"/>
    <w:rsid w:val="00CC7E7F"/>
    <w:rsid w:val="00CD093C"/>
    <w:rsid w:val="00CE1B7E"/>
    <w:rsid w:val="00CE2155"/>
    <w:rsid w:val="00CE5209"/>
    <w:rsid w:val="00CE73BF"/>
    <w:rsid w:val="00CF41A2"/>
    <w:rsid w:val="00CF58AB"/>
    <w:rsid w:val="00CF711F"/>
    <w:rsid w:val="00D02AFB"/>
    <w:rsid w:val="00D04426"/>
    <w:rsid w:val="00D04960"/>
    <w:rsid w:val="00D04F23"/>
    <w:rsid w:val="00D05322"/>
    <w:rsid w:val="00D058BA"/>
    <w:rsid w:val="00D1008A"/>
    <w:rsid w:val="00D124EC"/>
    <w:rsid w:val="00D13823"/>
    <w:rsid w:val="00D16252"/>
    <w:rsid w:val="00D20630"/>
    <w:rsid w:val="00D22150"/>
    <w:rsid w:val="00D26132"/>
    <w:rsid w:val="00D321DE"/>
    <w:rsid w:val="00D36115"/>
    <w:rsid w:val="00D4491A"/>
    <w:rsid w:val="00D477CE"/>
    <w:rsid w:val="00D4790C"/>
    <w:rsid w:val="00D50899"/>
    <w:rsid w:val="00D554FF"/>
    <w:rsid w:val="00D63687"/>
    <w:rsid w:val="00D67022"/>
    <w:rsid w:val="00D73360"/>
    <w:rsid w:val="00D773F8"/>
    <w:rsid w:val="00D85B9F"/>
    <w:rsid w:val="00D8645C"/>
    <w:rsid w:val="00D86A8D"/>
    <w:rsid w:val="00D9005F"/>
    <w:rsid w:val="00D9421A"/>
    <w:rsid w:val="00DA0C1C"/>
    <w:rsid w:val="00DA2433"/>
    <w:rsid w:val="00DA34E7"/>
    <w:rsid w:val="00DA57A8"/>
    <w:rsid w:val="00DB0C1D"/>
    <w:rsid w:val="00DB1112"/>
    <w:rsid w:val="00DB112E"/>
    <w:rsid w:val="00DB251F"/>
    <w:rsid w:val="00DB325E"/>
    <w:rsid w:val="00DB4541"/>
    <w:rsid w:val="00DB6356"/>
    <w:rsid w:val="00DB6607"/>
    <w:rsid w:val="00DC587F"/>
    <w:rsid w:val="00DD3899"/>
    <w:rsid w:val="00DD503C"/>
    <w:rsid w:val="00DE02F4"/>
    <w:rsid w:val="00DE69B1"/>
    <w:rsid w:val="00DE6D6E"/>
    <w:rsid w:val="00DE7926"/>
    <w:rsid w:val="00DF191F"/>
    <w:rsid w:val="00DF3F3F"/>
    <w:rsid w:val="00DF6EE8"/>
    <w:rsid w:val="00DF7A81"/>
    <w:rsid w:val="00DF7BDC"/>
    <w:rsid w:val="00E018E0"/>
    <w:rsid w:val="00E034D2"/>
    <w:rsid w:val="00E071C2"/>
    <w:rsid w:val="00E103ED"/>
    <w:rsid w:val="00E10716"/>
    <w:rsid w:val="00E208F6"/>
    <w:rsid w:val="00E209CC"/>
    <w:rsid w:val="00E2115C"/>
    <w:rsid w:val="00E2360F"/>
    <w:rsid w:val="00E23A74"/>
    <w:rsid w:val="00E27AD8"/>
    <w:rsid w:val="00E36F1E"/>
    <w:rsid w:val="00E40C65"/>
    <w:rsid w:val="00E41677"/>
    <w:rsid w:val="00E45521"/>
    <w:rsid w:val="00E45556"/>
    <w:rsid w:val="00E552B3"/>
    <w:rsid w:val="00E577BF"/>
    <w:rsid w:val="00E61238"/>
    <w:rsid w:val="00E6312E"/>
    <w:rsid w:val="00E6315F"/>
    <w:rsid w:val="00E65277"/>
    <w:rsid w:val="00E662B0"/>
    <w:rsid w:val="00E66AED"/>
    <w:rsid w:val="00E675A3"/>
    <w:rsid w:val="00E67E98"/>
    <w:rsid w:val="00E70E31"/>
    <w:rsid w:val="00E81D2D"/>
    <w:rsid w:val="00E85064"/>
    <w:rsid w:val="00E90B7F"/>
    <w:rsid w:val="00E9109D"/>
    <w:rsid w:val="00E95664"/>
    <w:rsid w:val="00EA2285"/>
    <w:rsid w:val="00EA272B"/>
    <w:rsid w:val="00EA4733"/>
    <w:rsid w:val="00EA560B"/>
    <w:rsid w:val="00EA5A50"/>
    <w:rsid w:val="00EA6AE4"/>
    <w:rsid w:val="00EA736C"/>
    <w:rsid w:val="00EB0226"/>
    <w:rsid w:val="00EB42A6"/>
    <w:rsid w:val="00EB5E13"/>
    <w:rsid w:val="00EB6DDC"/>
    <w:rsid w:val="00EC11CB"/>
    <w:rsid w:val="00EC3014"/>
    <w:rsid w:val="00EC5E17"/>
    <w:rsid w:val="00ED100B"/>
    <w:rsid w:val="00ED1BEE"/>
    <w:rsid w:val="00EE093A"/>
    <w:rsid w:val="00EE1B5C"/>
    <w:rsid w:val="00EE1B87"/>
    <w:rsid w:val="00EE26E0"/>
    <w:rsid w:val="00EE5D06"/>
    <w:rsid w:val="00EE6599"/>
    <w:rsid w:val="00EF1192"/>
    <w:rsid w:val="00EF18FD"/>
    <w:rsid w:val="00EF1CE3"/>
    <w:rsid w:val="00EF312C"/>
    <w:rsid w:val="00EF3A0E"/>
    <w:rsid w:val="00EF57AD"/>
    <w:rsid w:val="00F02971"/>
    <w:rsid w:val="00F029C1"/>
    <w:rsid w:val="00F05286"/>
    <w:rsid w:val="00F113D4"/>
    <w:rsid w:val="00F12BC1"/>
    <w:rsid w:val="00F14FE6"/>
    <w:rsid w:val="00F173EA"/>
    <w:rsid w:val="00F21199"/>
    <w:rsid w:val="00F25443"/>
    <w:rsid w:val="00F2692C"/>
    <w:rsid w:val="00F30F04"/>
    <w:rsid w:val="00F33CAA"/>
    <w:rsid w:val="00F3587B"/>
    <w:rsid w:val="00F368A6"/>
    <w:rsid w:val="00F36BA5"/>
    <w:rsid w:val="00F36C19"/>
    <w:rsid w:val="00F4669E"/>
    <w:rsid w:val="00F46CE9"/>
    <w:rsid w:val="00F51D5F"/>
    <w:rsid w:val="00F53BB8"/>
    <w:rsid w:val="00F544F9"/>
    <w:rsid w:val="00F56BC5"/>
    <w:rsid w:val="00F62EAF"/>
    <w:rsid w:val="00F65521"/>
    <w:rsid w:val="00F65A61"/>
    <w:rsid w:val="00F660C2"/>
    <w:rsid w:val="00F709F1"/>
    <w:rsid w:val="00F74C1F"/>
    <w:rsid w:val="00F7759B"/>
    <w:rsid w:val="00F7780E"/>
    <w:rsid w:val="00F84CAB"/>
    <w:rsid w:val="00F85072"/>
    <w:rsid w:val="00F85F12"/>
    <w:rsid w:val="00F87B80"/>
    <w:rsid w:val="00F903FB"/>
    <w:rsid w:val="00F926EE"/>
    <w:rsid w:val="00F93271"/>
    <w:rsid w:val="00F9355E"/>
    <w:rsid w:val="00F970C2"/>
    <w:rsid w:val="00FA1C6E"/>
    <w:rsid w:val="00FA48DB"/>
    <w:rsid w:val="00FB0378"/>
    <w:rsid w:val="00FB564C"/>
    <w:rsid w:val="00FC519C"/>
    <w:rsid w:val="00FC535E"/>
    <w:rsid w:val="00FC54B7"/>
    <w:rsid w:val="00FC621D"/>
    <w:rsid w:val="00FD1B05"/>
    <w:rsid w:val="00FD3391"/>
    <w:rsid w:val="00FD4C24"/>
    <w:rsid w:val="00FE0BE5"/>
    <w:rsid w:val="00FE191B"/>
    <w:rsid w:val="00FE329D"/>
    <w:rsid w:val="00FF241A"/>
    <w:rsid w:val="00FF7017"/>
    <w:rsid w:val="00FF7074"/>
    <w:rsid w:val="0BAE3C65"/>
    <w:rsid w:val="2ED6B29C"/>
    <w:rsid w:val="3EF79AFC"/>
    <w:rsid w:val="3FBE81DE"/>
    <w:rsid w:val="5F77FBD7"/>
    <w:rsid w:val="61E3EC37"/>
    <w:rsid w:val="6BFD8C8B"/>
    <w:rsid w:val="777FDBCD"/>
    <w:rsid w:val="7DEBD76C"/>
    <w:rsid w:val="7EDFD0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5548F1"/>
    <w:pPr>
      <w:jc w:val="left"/>
    </w:pPr>
  </w:style>
  <w:style w:type="paragraph" w:styleId="a4">
    <w:name w:val="footer"/>
    <w:basedOn w:val="a"/>
    <w:link w:val="Char"/>
    <w:uiPriority w:val="99"/>
    <w:unhideWhenUsed/>
    <w:qFormat/>
    <w:rsid w:val="005548F1"/>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5548F1"/>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5548F1"/>
    <w:pPr>
      <w:widowControl w:val="0"/>
      <w:autoSpaceDE w:val="0"/>
      <w:autoSpaceDN w:val="0"/>
      <w:adjustRightInd w:val="0"/>
    </w:pPr>
    <w:rPr>
      <w:rFonts w:ascii="宋体" w:eastAsia="宋体" w:cs="宋体"/>
      <w:color w:val="000000"/>
      <w:sz w:val="24"/>
      <w:szCs w:val="24"/>
    </w:rPr>
  </w:style>
  <w:style w:type="paragraph" w:customStyle="1" w:styleId="1">
    <w:name w:val="列出段落1"/>
    <w:basedOn w:val="a"/>
    <w:uiPriority w:val="34"/>
    <w:qFormat/>
    <w:rsid w:val="005548F1"/>
    <w:pPr>
      <w:ind w:firstLineChars="200" w:firstLine="420"/>
    </w:pPr>
  </w:style>
  <w:style w:type="character" w:customStyle="1" w:styleId="Char0">
    <w:name w:val="页眉 Char"/>
    <w:basedOn w:val="a0"/>
    <w:link w:val="a5"/>
    <w:uiPriority w:val="99"/>
    <w:qFormat/>
    <w:rsid w:val="005548F1"/>
    <w:rPr>
      <w:sz w:val="18"/>
      <w:szCs w:val="18"/>
    </w:rPr>
  </w:style>
  <w:style w:type="character" w:customStyle="1" w:styleId="Char">
    <w:name w:val="页脚 Char"/>
    <w:basedOn w:val="a0"/>
    <w:link w:val="a4"/>
    <w:uiPriority w:val="99"/>
    <w:qFormat/>
    <w:rsid w:val="005548F1"/>
    <w:rPr>
      <w:sz w:val="18"/>
      <w:szCs w:val="18"/>
    </w:rPr>
  </w:style>
  <w:style w:type="character" w:styleId="a6">
    <w:name w:val="annotation reference"/>
    <w:basedOn w:val="a0"/>
    <w:uiPriority w:val="99"/>
    <w:semiHidden/>
    <w:unhideWhenUsed/>
    <w:rsid w:val="005548F1"/>
    <w:rPr>
      <w:sz w:val="21"/>
      <w:szCs w:val="21"/>
    </w:rPr>
  </w:style>
  <w:style w:type="paragraph" w:styleId="a7">
    <w:name w:val="Balloon Text"/>
    <w:basedOn w:val="a"/>
    <w:link w:val="Char1"/>
    <w:uiPriority w:val="99"/>
    <w:semiHidden/>
    <w:unhideWhenUsed/>
    <w:rsid w:val="00A7710C"/>
    <w:rPr>
      <w:sz w:val="18"/>
      <w:szCs w:val="18"/>
    </w:rPr>
  </w:style>
  <w:style w:type="character" w:customStyle="1" w:styleId="Char1">
    <w:name w:val="批注框文本 Char"/>
    <w:basedOn w:val="a0"/>
    <w:link w:val="a7"/>
    <w:uiPriority w:val="99"/>
    <w:semiHidden/>
    <w:rsid w:val="00A7710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497</Words>
  <Characters>2834</Characters>
  <Application>Microsoft Office Word</Application>
  <DocSecurity>0</DocSecurity>
  <Lines>23</Lines>
  <Paragraphs>6</Paragraphs>
  <ScaleCrop>false</ScaleCrop>
  <Company>xitongcheng</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于健</dc:creator>
  <cp:lastModifiedBy>李艳微</cp:lastModifiedBy>
  <cp:revision>32</cp:revision>
  <dcterms:created xsi:type="dcterms:W3CDTF">2018-05-24T00:42:00Z</dcterms:created>
  <dcterms:modified xsi:type="dcterms:W3CDTF">2022-04-20T02:57:00Z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